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788"/>
        <w:gridCol w:w="4788"/>
      </w:tblGrid>
      <w:tr w:rsidR="00BF77D4" w:rsidRPr="00BF77D4" w14:paraId="181AE07B" w14:textId="77777777" w:rsidTr="005B4EE6">
        <w:tc>
          <w:tcPr>
            <w:tcW w:w="9576" w:type="dxa"/>
            <w:gridSpan w:val="2"/>
          </w:tcPr>
          <w:p w14:paraId="53705933" w14:textId="1259FE49" w:rsidR="00621F1B" w:rsidRPr="00BF77D4" w:rsidRDefault="00A437B9" w:rsidP="00A437B9">
            <w:pPr>
              <w:jc w:val="center"/>
              <w:rPr>
                <w:rFonts w:ascii="Arial" w:hAnsi="Arial" w:cs="Arial"/>
                <w:color w:val="000000" w:themeColor="text1"/>
              </w:rPr>
            </w:pPr>
            <w:r w:rsidRPr="00BF77D4">
              <w:rPr>
                <w:rFonts w:ascii="Arial" w:hAnsi="Arial" w:cs="Arial"/>
                <w:b/>
                <w:color w:val="000000" w:themeColor="text1"/>
              </w:rPr>
              <w:t>January 1 – December 31</w:t>
            </w:r>
            <w:r w:rsidR="00621F1B" w:rsidRPr="00BF77D4">
              <w:rPr>
                <w:rFonts w:ascii="Arial" w:hAnsi="Arial" w:cs="Arial"/>
                <w:b/>
                <w:color w:val="000000" w:themeColor="text1"/>
              </w:rPr>
              <w:t xml:space="preserve">, </w:t>
            </w:r>
            <w:r w:rsidR="002F3FBA" w:rsidRPr="00BF77D4">
              <w:rPr>
                <w:rFonts w:ascii="Arial" w:hAnsi="Arial" w:cs="Arial"/>
                <w:b/>
                <w:color w:val="000000" w:themeColor="text1"/>
              </w:rPr>
              <w:t>2022,</w:t>
            </w:r>
            <w:r w:rsidR="009137A3" w:rsidRPr="00BF77D4">
              <w:rPr>
                <w:rFonts w:ascii="Arial" w:hAnsi="Arial" w:cs="Arial"/>
                <w:color w:val="000000" w:themeColor="text1"/>
              </w:rPr>
              <w:t xml:space="preserve"> </w:t>
            </w:r>
            <w:r w:rsidR="00621F1B" w:rsidRPr="00BF77D4">
              <w:rPr>
                <w:rFonts w:ascii="Arial" w:hAnsi="Arial" w:cs="Arial"/>
                <w:color w:val="000000" w:themeColor="text1"/>
              </w:rPr>
              <w:t>Statewide SBA Goals</w:t>
            </w:r>
          </w:p>
        </w:tc>
      </w:tr>
      <w:tr w:rsidR="00BF77D4" w:rsidRPr="00BF77D4" w14:paraId="23799FEC" w14:textId="77777777" w:rsidTr="005B4EE6">
        <w:tc>
          <w:tcPr>
            <w:tcW w:w="4788" w:type="dxa"/>
          </w:tcPr>
          <w:p w14:paraId="5A229830" w14:textId="77777777" w:rsidR="00621F1B" w:rsidRPr="00BF77D4" w:rsidRDefault="00621F1B" w:rsidP="005B4EE6">
            <w:pPr>
              <w:jc w:val="center"/>
              <w:rPr>
                <w:rFonts w:ascii="Arial" w:hAnsi="Arial" w:cs="Arial"/>
                <w:color w:val="000000" w:themeColor="text1"/>
              </w:rPr>
            </w:pPr>
            <w:r w:rsidRPr="00BF77D4">
              <w:rPr>
                <w:rFonts w:ascii="Arial" w:hAnsi="Arial" w:cs="Arial"/>
                <w:color w:val="000000" w:themeColor="text1"/>
              </w:rPr>
              <w:t>Jobs Supported</w:t>
            </w:r>
          </w:p>
        </w:tc>
        <w:tc>
          <w:tcPr>
            <w:tcW w:w="4788" w:type="dxa"/>
          </w:tcPr>
          <w:p w14:paraId="7C354A8B" w14:textId="3FF3EF37" w:rsidR="00621F1B" w:rsidRPr="00BF77D4" w:rsidRDefault="009137A3" w:rsidP="005B4EE6">
            <w:pPr>
              <w:jc w:val="center"/>
              <w:rPr>
                <w:rFonts w:ascii="Arial" w:hAnsi="Arial" w:cs="Arial"/>
                <w:color w:val="000000" w:themeColor="text1"/>
              </w:rPr>
            </w:pPr>
            <w:r w:rsidRPr="00BF77D4">
              <w:rPr>
                <w:rFonts w:ascii="Arial" w:hAnsi="Arial" w:cs="Arial"/>
                <w:color w:val="000000" w:themeColor="text1"/>
              </w:rPr>
              <w:t xml:space="preserve">    5</w:t>
            </w:r>
            <w:r w:rsidR="005E4143">
              <w:rPr>
                <w:rFonts w:ascii="Arial" w:hAnsi="Arial" w:cs="Arial"/>
                <w:color w:val="000000" w:themeColor="text1"/>
              </w:rPr>
              <w:t>,</w:t>
            </w:r>
            <w:r w:rsidRPr="00BF77D4">
              <w:rPr>
                <w:rFonts w:ascii="Arial" w:hAnsi="Arial" w:cs="Arial"/>
                <w:color w:val="000000" w:themeColor="text1"/>
              </w:rPr>
              <w:t>33</w:t>
            </w:r>
            <w:r w:rsidR="005E4143">
              <w:rPr>
                <w:rFonts w:ascii="Arial" w:hAnsi="Arial" w:cs="Arial"/>
                <w:color w:val="000000" w:themeColor="text1"/>
              </w:rPr>
              <w:t>6</w:t>
            </w:r>
          </w:p>
        </w:tc>
      </w:tr>
      <w:tr w:rsidR="00BF77D4" w:rsidRPr="00BF77D4" w14:paraId="1B79D159" w14:textId="77777777" w:rsidTr="005B4EE6">
        <w:tc>
          <w:tcPr>
            <w:tcW w:w="4788" w:type="dxa"/>
          </w:tcPr>
          <w:p w14:paraId="0BF8EA18" w14:textId="77777777" w:rsidR="00621F1B" w:rsidRPr="00BF77D4" w:rsidRDefault="00621F1B" w:rsidP="005B4EE6">
            <w:pPr>
              <w:jc w:val="center"/>
              <w:rPr>
                <w:rFonts w:ascii="Arial" w:hAnsi="Arial" w:cs="Arial"/>
                <w:color w:val="000000" w:themeColor="text1"/>
              </w:rPr>
            </w:pPr>
            <w:r w:rsidRPr="00BF77D4">
              <w:rPr>
                <w:rFonts w:ascii="Arial" w:hAnsi="Arial" w:cs="Arial"/>
                <w:color w:val="000000" w:themeColor="text1"/>
              </w:rPr>
              <w:t>New Business Starts</w:t>
            </w:r>
          </w:p>
        </w:tc>
        <w:tc>
          <w:tcPr>
            <w:tcW w:w="4788" w:type="dxa"/>
          </w:tcPr>
          <w:p w14:paraId="67394786" w14:textId="2B6FDA90" w:rsidR="00621F1B" w:rsidRPr="00BF77D4" w:rsidRDefault="009137A3" w:rsidP="005B4EE6">
            <w:pPr>
              <w:jc w:val="center"/>
              <w:rPr>
                <w:rFonts w:ascii="Arial" w:hAnsi="Arial" w:cs="Arial"/>
                <w:color w:val="000000" w:themeColor="text1"/>
              </w:rPr>
            </w:pPr>
            <w:r w:rsidRPr="00BF77D4">
              <w:rPr>
                <w:rFonts w:ascii="Arial" w:hAnsi="Arial" w:cs="Arial"/>
                <w:color w:val="000000" w:themeColor="text1"/>
              </w:rPr>
              <w:t xml:space="preserve">     97</w:t>
            </w:r>
          </w:p>
        </w:tc>
      </w:tr>
      <w:tr w:rsidR="00BF77D4" w:rsidRPr="00BF77D4" w14:paraId="35E863AE" w14:textId="77777777" w:rsidTr="005B4EE6">
        <w:tc>
          <w:tcPr>
            <w:tcW w:w="4788" w:type="dxa"/>
          </w:tcPr>
          <w:p w14:paraId="2B610BDD" w14:textId="77777777" w:rsidR="00621F1B" w:rsidRPr="00BF77D4" w:rsidRDefault="00621F1B" w:rsidP="005B4EE6">
            <w:pPr>
              <w:jc w:val="center"/>
              <w:rPr>
                <w:rFonts w:ascii="Arial" w:hAnsi="Arial" w:cs="Arial"/>
                <w:color w:val="000000" w:themeColor="text1"/>
              </w:rPr>
            </w:pPr>
            <w:r w:rsidRPr="00BF77D4">
              <w:rPr>
                <w:rFonts w:ascii="Arial" w:hAnsi="Arial" w:cs="Arial"/>
                <w:color w:val="000000" w:themeColor="text1"/>
              </w:rPr>
              <w:t xml:space="preserve">Capital Infusion (Dollar Amount) </w:t>
            </w:r>
          </w:p>
        </w:tc>
        <w:tc>
          <w:tcPr>
            <w:tcW w:w="4788" w:type="dxa"/>
          </w:tcPr>
          <w:p w14:paraId="4510F088" w14:textId="07323D31" w:rsidR="00621F1B" w:rsidRPr="00BF77D4" w:rsidRDefault="009137A3" w:rsidP="005B4EE6">
            <w:pPr>
              <w:jc w:val="center"/>
              <w:rPr>
                <w:rFonts w:ascii="Arial" w:hAnsi="Arial" w:cs="Arial"/>
                <w:color w:val="000000" w:themeColor="text1"/>
              </w:rPr>
            </w:pPr>
            <w:r w:rsidRPr="00BF77D4">
              <w:rPr>
                <w:rFonts w:ascii="Arial" w:hAnsi="Arial" w:cs="Arial"/>
                <w:color w:val="000000" w:themeColor="text1"/>
              </w:rPr>
              <w:t xml:space="preserve">     $34,3</w:t>
            </w:r>
            <w:r w:rsidR="005E4143">
              <w:rPr>
                <w:rFonts w:ascii="Arial" w:hAnsi="Arial" w:cs="Arial"/>
                <w:color w:val="000000" w:themeColor="text1"/>
              </w:rPr>
              <w:t>0</w:t>
            </w:r>
            <w:r w:rsidRPr="00BF77D4">
              <w:rPr>
                <w:rFonts w:ascii="Arial" w:hAnsi="Arial" w:cs="Arial"/>
                <w:color w:val="000000" w:themeColor="text1"/>
              </w:rPr>
              <w:t>9,</w:t>
            </w:r>
            <w:r w:rsidR="006C7B55">
              <w:rPr>
                <w:rFonts w:ascii="Arial" w:hAnsi="Arial" w:cs="Arial"/>
                <w:color w:val="000000" w:themeColor="text1"/>
              </w:rPr>
              <w:t>067</w:t>
            </w:r>
          </w:p>
        </w:tc>
      </w:tr>
      <w:tr w:rsidR="00621F1B" w:rsidRPr="00BF77D4" w14:paraId="0351E75B" w14:textId="77777777" w:rsidTr="005B4EE6">
        <w:tc>
          <w:tcPr>
            <w:tcW w:w="4788" w:type="dxa"/>
          </w:tcPr>
          <w:p w14:paraId="2F44CE9F" w14:textId="77777777" w:rsidR="00621F1B" w:rsidRPr="00BF77D4" w:rsidRDefault="00621F1B" w:rsidP="005B4EE6">
            <w:pPr>
              <w:jc w:val="center"/>
              <w:rPr>
                <w:rFonts w:ascii="Arial" w:hAnsi="Arial" w:cs="Arial"/>
                <w:color w:val="000000" w:themeColor="text1"/>
              </w:rPr>
            </w:pPr>
            <w:r w:rsidRPr="00BF77D4">
              <w:rPr>
                <w:rFonts w:ascii="Arial" w:hAnsi="Arial" w:cs="Arial"/>
                <w:noProof/>
                <w:color w:val="000000" w:themeColor="text1"/>
              </w:rPr>
              <w:t>Unique Clients Served</w:t>
            </w:r>
          </w:p>
        </w:tc>
        <w:tc>
          <w:tcPr>
            <w:tcW w:w="4788" w:type="dxa"/>
          </w:tcPr>
          <w:p w14:paraId="7DB77D61" w14:textId="0C2CDB03" w:rsidR="00621F1B" w:rsidRPr="00BF77D4" w:rsidRDefault="009137A3" w:rsidP="005B4EE6">
            <w:pPr>
              <w:jc w:val="center"/>
              <w:rPr>
                <w:rFonts w:ascii="Arial" w:hAnsi="Arial" w:cs="Arial"/>
                <w:color w:val="000000" w:themeColor="text1"/>
              </w:rPr>
            </w:pPr>
            <w:r w:rsidRPr="00BF77D4">
              <w:rPr>
                <w:rFonts w:ascii="Arial" w:hAnsi="Arial" w:cs="Arial"/>
                <w:color w:val="000000" w:themeColor="text1"/>
              </w:rPr>
              <w:t xml:space="preserve">    1</w:t>
            </w:r>
            <w:r w:rsidR="005E4143">
              <w:rPr>
                <w:rFonts w:ascii="Arial" w:hAnsi="Arial" w:cs="Arial"/>
                <w:color w:val="000000" w:themeColor="text1"/>
              </w:rPr>
              <w:t>,</w:t>
            </w:r>
            <w:r w:rsidRPr="00BF77D4">
              <w:rPr>
                <w:rFonts w:ascii="Arial" w:hAnsi="Arial" w:cs="Arial"/>
                <w:color w:val="000000" w:themeColor="text1"/>
              </w:rPr>
              <w:t>480</w:t>
            </w:r>
          </w:p>
        </w:tc>
      </w:tr>
    </w:tbl>
    <w:p w14:paraId="3259BA94" w14:textId="5823226A" w:rsidR="001221A9" w:rsidRPr="00BF77D4" w:rsidRDefault="001221A9" w:rsidP="0068224D">
      <w:pPr>
        <w:spacing w:after="0"/>
        <w:rPr>
          <w:rFonts w:ascii="Arial" w:hAnsi="Arial" w:cs="Arial"/>
          <w:b/>
          <w:color w:val="000000" w:themeColor="text1"/>
        </w:rPr>
      </w:pPr>
    </w:p>
    <w:p w14:paraId="5A856ECA" w14:textId="5F7D2FB8" w:rsidR="003231E3" w:rsidRPr="00BF77D4" w:rsidRDefault="005C307E" w:rsidP="005C307E">
      <w:pPr>
        <w:spacing w:line="240" w:lineRule="auto"/>
        <w:rPr>
          <w:rFonts w:ascii="Arial" w:hAnsi="Arial" w:cs="Arial"/>
          <w:color w:val="000000" w:themeColor="text1"/>
        </w:rPr>
      </w:pPr>
      <w:r w:rsidRPr="00BF77D4">
        <w:rPr>
          <w:rFonts w:ascii="Arial" w:hAnsi="Arial" w:cs="Arial"/>
          <w:color w:val="000000" w:themeColor="text1"/>
        </w:rPr>
        <w:t xml:space="preserve">NOTE: The words </w:t>
      </w:r>
      <w:r w:rsidR="00D0659D" w:rsidRPr="00BF77D4">
        <w:rPr>
          <w:rFonts w:ascii="Arial" w:hAnsi="Arial" w:cs="Arial"/>
          <w:color w:val="000000" w:themeColor="text1"/>
        </w:rPr>
        <w:t xml:space="preserve">Client Economic Impact Report, </w:t>
      </w:r>
      <w:r w:rsidR="009C7F84" w:rsidRPr="00BF77D4">
        <w:rPr>
          <w:rFonts w:ascii="Arial" w:hAnsi="Arial" w:cs="Arial"/>
          <w:color w:val="000000" w:themeColor="text1"/>
        </w:rPr>
        <w:t>Measures</w:t>
      </w:r>
      <w:r w:rsidRPr="00BF77D4">
        <w:rPr>
          <w:rFonts w:ascii="Arial" w:hAnsi="Arial" w:cs="Arial"/>
          <w:color w:val="000000" w:themeColor="text1"/>
        </w:rPr>
        <w:t xml:space="preserve">, Benchmark, </w:t>
      </w:r>
      <w:r w:rsidR="003F0937" w:rsidRPr="00BF77D4">
        <w:rPr>
          <w:rFonts w:ascii="Arial" w:hAnsi="Arial" w:cs="Arial"/>
          <w:color w:val="000000" w:themeColor="text1"/>
        </w:rPr>
        <w:t>Entrepreneurial Development Management Information System (EDMIS)</w:t>
      </w:r>
      <w:r w:rsidR="0078649D" w:rsidRPr="00BF77D4">
        <w:rPr>
          <w:rFonts w:ascii="Arial" w:hAnsi="Arial" w:cs="Arial"/>
          <w:color w:val="000000" w:themeColor="text1"/>
        </w:rPr>
        <w:t>, Neoserra, and eC</w:t>
      </w:r>
      <w:r w:rsidRPr="00BF77D4">
        <w:rPr>
          <w:rFonts w:ascii="Arial" w:hAnsi="Arial" w:cs="Arial"/>
          <w:color w:val="000000" w:themeColor="text1"/>
        </w:rPr>
        <w:t>enter are explained at the end of this document.</w:t>
      </w:r>
      <w:r w:rsidR="003231E3" w:rsidRPr="00BF77D4">
        <w:rPr>
          <w:rFonts w:ascii="Arial" w:hAnsi="Arial" w:cs="Arial"/>
          <w:color w:val="000000" w:themeColor="text1"/>
        </w:rPr>
        <w:t xml:space="preserve"> </w:t>
      </w:r>
    </w:p>
    <w:p w14:paraId="37579988" w14:textId="5F63FFC4" w:rsidR="008A0BF1" w:rsidRPr="006B70B1" w:rsidRDefault="005E4144" w:rsidP="003231E3">
      <w:pPr>
        <w:spacing w:line="240" w:lineRule="auto"/>
        <w:rPr>
          <w:rFonts w:ascii="Arial" w:hAnsi="Arial" w:cs="Arial"/>
          <w:b/>
          <w:i/>
          <w:color w:val="000000" w:themeColor="text1"/>
          <w:sz w:val="24"/>
          <w:szCs w:val="24"/>
        </w:rPr>
      </w:pPr>
      <w:r w:rsidRPr="006B70B1">
        <w:rPr>
          <w:rFonts w:ascii="Arial" w:hAnsi="Arial" w:cs="Arial"/>
          <w:b/>
          <w:color w:val="000000" w:themeColor="text1"/>
          <w:sz w:val="24"/>
          <w:szCs w:val="24"/>
          <w:u w:val="single"/>
        </w:rPr>
        <w:t>Wildly Important Goal</w:t>
      </w:r>
      <w:r w:rsidR="00025CDF" w:rsidRPr="006B70B1">
        <w:rPr>
          <w:rFonts w:ascii="Arial" w:hAnsi="Arial" w:cs="Arial"/>
          <w:b/>
          <w:color w:val="000000" w:themeColor="text1"/>
          <w:sz w:val="24"/>
          <w:szCs w:val="24"/>
          <w:u w:val="single"/>
        </w:rPr>
        <w:t xml:space="preserve"> (WIG)</w:t>
      </w:r>
      <w:r w:rsidRPr="006B70B1">
        <w:rPr>
          <w:rFonts w:ascii="Arial" w:hAnsi="Arial" w:cs="Arial"/>
          <w:b/>
          <w:color w:val="000000" w:themeColor="text1"/>
          <w:sz w:val="24"/>
          <w:szCs w:val="24"/>
          <w:u w:val="single"/>
        </w:rPr>
        <w:t xml:space="preserve"> 1</w:t>
      </w:r>
      <w:r w:rsidR="004F0595" w:rsidRPr="006B70B1">
        <w:rPr>
          <w:rFonts w:ascii="Arial" w:hAnsi="Arial" w:cs="Arial"/>
          <w:b/>
          <w:color w:val="000000" w:themeColor="text1"/>
          <w:sz w:val="24"/>
          <w:szCs w:val="24"/>
        </w:rPr>
        <w:t xml:space="preserve"> -</w:t>
      </w:r>
      <w:r w:rsidR="009137A3" w:rsidRPr="006B70B1">
        <w:rPr>
          <w:rFonts w:ascii="Arial" w:hAnsi="Arial" w:cs="Arial"/>
          <w:b/>
          <w:i/>
          <w:color w:val="000000" w:themeColor="text1"/>
          <w:sz w:val="24"/>
          <w:szCs w:val="24"/>
        </w:rPr>
        <w:t xml:space="preserve"> </w:t>
      </w:r>
      <w:r w:rsidR="00503FB8">
        <w:rPr>
          <w:rFonts w:ascii="Arial" w:hAnsi="Arial" w:cs="Arial"/>
          <w:b/>
          <w:i/>
          <w:color w:val="000000" w:themeColor="text1"/>
          <w:sz w:val="24"/>
          <w:szCs w:val="24"/>
        </w:rPr>
        <w:t>C</w:t>
      </w:r>
      <w:r w:rsidR="009137A3" w:rsidRPr="006B70B1">
        <w:rPr>
          <w:rFonts w:ascii="Arial" w:hAnsi="Arial" w:cs="Arial"/>
          <w:b/>
          <w:i/>
          <w:color w:val="000000" w:themeColor="text1"/>
          <w:sz w:val="24"/>
          <w:szCs w:val="24"/>
        </w:rPr>
        <w:t xml:space="preserve">ounsel </w:t>
      </w:r>
      <w:r w:rsidR="00503FB8">
        <w:rPr>
          <w:rFonts w:ascii="Arial" w:hAnsi="Arial" w:cs="Arial"/>
          <w:b/>
          <w:i/>
          <w:color w:val="000000" w:themeColor="text1"/>
          <w:sz w:val="24"/>
          <w:szCs w:val="24"/>
        </w:rPr>
        <w:t xml:space="preserve">and train </w:t>
      </w:r>
      <w:r w:rsidR="009137A3" w:rsidRPr="006B70B1">
        <w:rPr>
          <w:rFonts w:ascii="Arial" w:hAnsi="Arial" w:cs="Arial"/>
          <w:b/>
          <w:i/>
          <w:color w:val="000000" w:themeColor="text1"/>
          <w:sz w:val="24"/>
          <w:szCs w:val="24"/>
        </w:rPr>
        <w:t xml:space="preserve">entrepreneurs to start new businesses, grow existing businesses and stay in business. </w:t>
      </w:r>
    </w:p>
    <w:p w14:paraId="29622CAF" w14:textId="04D8A503" w:rsidR="008E44B1" w:rsidRPr="00BF77D4" w:rsidRDefault="008C2A92" w:rsidP="0068224D">
      <w:pPr>
        <w:spacing w:after="0"/>
        <w:jc w:val="center"/>
        <w:rPr>
          <w:rFonts w:ascii="Arial" w:hAnsi="Arial" w:cs="Arial"/>
          <w:b/>
          <w:color w:val="000000" w:themeColor="text1"/>
          <w:u w:val="single"/>
        </w:rPr>
      </w:pPr>
      <w:r w:rsidRPr="00BF77D4">
        <w:rPr>
          <w:rFonts w:ascii="Arial" w:hAnsi="Arial" w:cs="Arial"/>
          <w:b/>
          <w:color w:val="000000" w:themeColor="text1"/>
          <w:u w:val="single"/>
        </w:rPr>
        <w:t>Measures</w:t>
      </w:r>
    </w:p>
    <w:p w14:paraId="063F159F" w14:textId="3D2D2AB6" w:rsidR="00EA7422" w:rsidRPr="00BF77D4" w:rsidRDefault="00EA7422" w:rsidP="0068224D">
      <w:pPr>
        <w:spacing w:after="0"/>
        <w:jc w:val="center"/>
        <w:rPr>
          <w:rFonts w:ascii="Arial" w:hAnsi="Arial" w:cs="Arial"/>
          <w:b/>
          <w:color w:val="000000" w:themeColor="text1"/>
          <w:u w:val="single"/>
        </w:rPr>
      </w:pPr>
    </w:p>
    <w:p w14:paraId="08CC5991" w14:textId="11DAE43E" w:rsidR="00EA7422" w:rsidRPr="00BF77D4" w:rsidRDefault="00EA7422" w:rsidP="00EA7422">
      <w:pPr>
        <w:spacing w:after="0"/>
        <w:rPr>
          <w:rFonts w:ascii="Arial" w:hAnsi="Arial" w:cs="Arial"/>
          <w:b/>
          <w:color w:val="000000" w:themeColor="text1"/>
        </w:rPr>
      </w:pPr>
      <w:r w:rsidRPr="00BF77D4">
        <w:rPr>
          <w:rFonts w:ascii="Arial" w:hAnsi="Arial" w:cs="Arial"/>
          <w:b/>
          <w:color w:val="000000" w:themeColor="text1"/>
          <w:u w:val="single"/>
        </w:rPr>
        <w:t xml:space="preserve">Cost </w:t>
      </w:r>
      <w:r w:rsidR="00051B52" w:rsidRPr="00BF77D4">
        <w:rPr>
          <w:rFonts w:ascii="Arial" w:hAnsi="Arial" w:cs="Arial"/>
          <w:b/>
          <w:color w:val="000000" w:themeColor="text1"/>
          <w:u w:val="single"/>
        </w:rPr>
        <w:t>Per Jo</w:t>
      </w:r>
      <w:r w:rsidRPr="00BF77D4">
        <w:rPr>
          <w:rFonts w:ascii="Arial" w:hAnsi="Arial" w:cs="Arial"/>
          <w:b/>
          <w:color w:val="000000" w:themeColor="text1"/>
          <w:u w:val="single"/>
        </w:rPr>
        <w:t>bs Created or Saved</w:t>
      </w:r>
      <w:r w:rsidR="00BF77D4">
        <w:rPr>
          <w:rFonts w:ascii="Arial" w:hAnsi="Arial" w:cs="Arial"/>
          <w:b/>
          <w:color w:val="000000" w:themeColor="text1"/>
        </w:rPr>
        <w:t>:</w:t>
      </w:r>
      <w:r w:rsidRPr="00BF77D4">
        <w:rPr>
          <w:rFonts w:ascii="Arial" w:hAnsi="Arial" w:cs="Arial"/>
          <w:b/>
          <w:color w:val="000000" w:themeColor="text1"/>
        </w:rPr>
        <w:t xml:space="preserve"> </w:t>
      </w:r>
      <w:r w:rsidR="00BF77D4" w:rsidRPr="00BF77D4">
        <w:rPr>
          <w:rFonts w:ascii="Arial" w:hAnsi="Arial" w:cs="Arial"/>
          <w:bCs/>
          <w:color w:val="000000" w:themeColor="text1"/>
        </w:rPr>
        <w:t>This is</w:t>
      </w:r>
      <w:r w:rsidRPr="00BF77D4">
        <w:rPr>
          <w:rFonts w:ascii="Arial" w:hAnsi="Arial" w:cs="Arial"/>
          <w:bCs/>
          <w:color w:val="000000" w:themeColor="text1"/>
        </w:rPr>
        <w:t xml:space="preserve"> a New Mexico Accountability Measure from the N</w:t>
      </w:r>
      <w:r w:rsidR="00991164" w:rsidRPr="00BF77D4">
        <w:rPr>
          <w:rFonts w:ascii="Arial" w:hAnsi="Arial" w:cs="Arial"/>
          <w:bCs/>
          <w:color w:val="000000" w:themeColor="text1"/>
        </w:rPr>
        <w:t xml:space="preserve">ew </w:t>
      </w:r>
      <w:r w:rsidRPr="00BF77D4">
        <w:rPr>
          <w:rFonts w:ascii="Arial" w:hAnsi="Arial" w:cs="Arial"/>
          <w:bCs/>
          <w:color w:val="000000" w:themeColor="text1"/>
        </w:rPr>
        <w:t>M</w:t>
      </w:r>
      <w:r w:rsidR="00991164" w:rsidRPr="00BF77D4">
        <w:rPr>
          <w:rFonts w:ascii="Arial" w:hAnsi="Arial" w:cs="Arial"/>
          <w:bCs/>
          <w:color w:val="000000" w:themeColor="text1"/>
        </w:rPr>
        <w:t>exico</w:t>
      </w:r>
      <w:r w:rsidRPr="00BF77D4">
        <w:rPr>
          <w:rFonts w:ascii="Arial" w:hAnsi="Arial" w:cs="Arial"/>
          <w:bCs/>
          <w:color w:val="000000" w:themeColor="text1"/>
        </w:rPr>
        <w:t xml:space="preserve"> Department of Administration (NMDFA) </w:t>
      </w:r>
      <w:r w:rsidR="009F715F" w:rsidRPr="00D2613B">
        <w:rPr>
          <w:rFonts w:ascii="Arial" w:hAnsi="Arial" w:cs="Arial"/>
          <w:bCs/>
        </w:rPr>
        <w:t xml:space="preserve">to Santa Fe Community College for the NMSBDC Program </w:t>
      </w:r>
      <w:r w:rsidRPr="00BF77D4">
        <w:rPr>
          <w:rFonts w:ascii="Arial" w:hAnsi="Arial" w:cs="Arial"/>
          <w:bCs/>
          <w:color w:val="000000" w:themeColor="text1"/>
        </w:rPr>
        <w:t xml:space="preserve">and is calculated based on </w:t>
      </w:r>
      <w:r w:rsidR="001C5AB1" w:rsidRPr="00BF77D4">
        <w:rPr>
          <w:rFonts w:ascii="Arial" w:hAnsi="Arial" w:cs="Arial"/>
          <w:bCs/>
          <w:color w:val="000000" w:themeColor="text1"/>
        </w:rPr>
        <w:t xml:space="preserve">adding </w:t>
      </w:r>
      <w:r w:rsidRPr="00BF77D4">
        <w:rPr>
          <w:rFonts w:ascii="Arial" w:hAnsi="Arial" w:cs="Arial"/>
          <w:bCs/>
          <w:color w:val="000000" w:themeColor="text1"/>
        </w:rPr>
        <w:t xml:space="preserve">the Jobs Created </w:t>
      </w:r>
      <w:r w:rsidR="00051B52" w:rsidRPr="00BF77D4">
        <w:rPr>
          <w:rFonts w:ascii="Arial" w:hAnsi="Arial" w:cs="Arial"/>
          <w:bCs/>
          <w:color w:val="000000" w:themeColor="text1"/>
        </w:rPr>
        <w:t>plus the Jobs</w:t>
      </w:r>
      <w:r w:rsidR="001C5AB1" w:rsidRPr="00BF77D4">
        <w:rPr>
          <w:rFonts w:ascii="Arial" w:hAnsi="Arial" w:cs="Arial"/>
          <w:bCs/>
          <w:color w:val="000000" w:themeColor="text1"/>
        </w:rPr>
        <w:t xml:space="preserve"> </w:t>
      </w:r>
      <w:r w:rsidRPr="00BF77D4">
        <w:rPr>
          <w:rFonts w:ascii="Arial" w:hAnsi="Arial" w:cs="Arial"/>
          <w:bCs/>
          <w:color w:val="000000" w:themeColor="text1"/>
        </w:rPr>
        <w:t xml:space="preserve">Saved </w:t>
      </w:r>
      <w:r w:rsidR="001C5AB1" w:rsidRPr="00BF77D4">
        <w:rPr>
          <w:rFonts w:ascii="Arial" w:hAnsi="Arial" w:cs="Arial"/>
          <w:bCs/>
          <w:color w:val="000000" w:themeColor="text1"/>
        </w:rPr>
        <w:t xml:space="preserve">and then dividing that total number by </w:t>
      </w:r>
      <w:r w:rsidR="002370A8" w:rsidRPr="00BF77D4">
        <w:rPr>
          <w:rFonts w:ascii="Arial" w:hAnsi="Arial" w:cs="Arial"/>
          <w:bCs/>
          <w:color w:val="000000" w:themeColor="text1"/>
        </w:rPr>
        <w:t>the</w:t>
      </w:r>
      <w:r w:rsidRPr="00BF77D4">
        <w:rPr>
          <w:rFonts w:ascii="Arial" w:hAnsi="Arial" w:cs="Arial"/>
          <w:bCs/>
          <w:color w:val="000000" w:themeColor="text1"/>
        </w:rPr>
        <w:t xml:space="preserve"> </w:t>
      </w:r>
      <w:r w:rsidRPr="00C83E23">
        <w:rPr>
          <w:rFonts w:ascii="Arial" w:hAnsi="Arial" w:cs="Arial"/>
          <w:bCs/>
          <w:color w:val="000000" w:themeColor="text1"/>
        </w:rPr>
        <w:t xml:space="preserve">State </w:t>
      </w:r>
      <w:r w:rsidR="00503364" w:rsidRPr="00C83E23">
        <w:rPr>
          <w:rFonts w:ascii="Arial" w:hAnsi="Arial" w:cs="Arial"/>
          <w:bCs/>
          <w:color w:val="000000" w:themeColor="text1"/>
        </w:rPr>
        <w:t>F</w:t>
      </w:r>
      <w:r w:rsidR="002370A8" w:rsidRPr="00C83E23">
        <w:rPr>
          <w:rFonts w:ascii="Arial" w:hAnsi="Arial" w:cs="Arial"/>
          <w:bCs/>
          <w:color w:val="000000" w:themeColor="text1"/>
        </w:rPr>
        <w:t xml:space="preserve">iscal </w:t>
      </w:r>
      <w:r w:rsidR="00503364" w:rsidRPr="00C83E23">
        <w:rPr>
          <w:rFonts w:ascii="Arial" w:hAnsi="Arial" w:cs="Arial"/>
          <w:bCs/>
          <w:color w:val="000000" w:themeColor="text1"/>
        </w:rPr>
        <w:t>Y</w:t>
      </w:r>
      <w:r w:rsidR="002370A8" w:rsidRPr="00C83E23">
        <w:rPr>
          <w:rFonts w:ascii="Arial" w:hAnsi="Arial" w:cs="Arial"/>
          <w:bCs/>
          <w:color w:val="000000" w:themeColor="text1"/>
        </w:rPr>
        <w:t xml:space="preserve">ear </w:t>
      </w:r>
      <w:r w:rsidR="00503364" w:rsidRPr="00C83E23">
        <w:rPr>
          <w:rFonts w:ascii="Arial" w:hAnsi="Arial" w:cs="Arial"/>
          <w:bCs/>
          <w:color w:val="000000" w:themeColor="text1"/>
        </w:rPr>
        <w:t xml:space="preserve">(July 1 - June 30) </w:t>
      </w:r>
      <w:r w:rsidRPr="00C83E23">
        <w:rPr>
          <w:rFonts w:ascii="Arial" w:hAnsi="Arial" w:cs="Arial"/>
          <w:bCs/>
          <w:color w:val="000000" w:themeColor="text1"/>
        </w:rPr>
        <w:t xml:space="preserve">funding </w:t>
      </w:r>
      <w:r w:rsidRPr="00BF77D4">
        <w:rPr>
          <w:rFonts w:ascii="Arial" w:hAnsi="Arial" w:cs="Arial"/>
          <w:bCs/>
          <w:color w:val="000000" w:themeColor="text1"/>
        </w:rPr>
        <w:t xml:space="preserve">allocated to a </w:t>
      </w:r>
      <w:r w:rsidR="00991164" w:rsidRPr="00BF77D4">
        <w:rPr>
          <w:rFonts w:ascii="Arial" w:hAnsi="Arial" w:cs="Arial"/>
          <w:bCs/>
          <w:color w:val="000000" w:themeColor="text1"/>
        </w:rPr>
        <w:t>Service C</w:t>
      </w:r>
      <w:r w:rsidRPr="00BF77D4">
        <w:rPr>
          <w:rFonts w:ascii="Arial" w:hAnsi="Arial" w:cs="Arial"/>
          <w:bCs/>
          <w:color w:val="000000" w:themeColor="text1"/>
        </w:rPr>
        <w:t>enter</w:t>
      </w:r>
      <w:r w:rsidR="001C5AB1" w:rsidRPr="00BF77D4">
        <w:rPr>
          <w:rFonts w:ascii="Arial" w:hAnsi="Arial" w:cs="Arial"/>
          <w:bCs/>
          <w:color w:val="000000" w:themeColor="text1"/>
        </w:rPr>
        <w:t>.</w:t>
      </w:r>
      <w:r w:rsidRPr="00BF77D4">
        <w:rPr>
          <w:rFonts w:ascii="Arial" w:hAnsi="Arial" w:cs="Arial"/>
          <w:bCs/>
          <w:color w:val="000000" w:themeColor="text1"/>
        </w:rPr>
        <w:t xml:space="preserve"> </w:t>
      </w:r>
      <w:r w:rsidR="003A7CAE" w:rsidRPr="00BF77D4">
        <w:rPr>
          <w:rFonts w:ascii="Arial" w:hAnsi="Arial" w:cs="Arial"/>
          <w:bCs/>
          <w:color w:val="000000" w:themeColor="text1"/>
        </w:rPr>
        <w:t>A</w:t>
      </w:r>
      <w:r w:rsidR="00F4380A" w:rsidRPr="00BF77D4">
        <w:rPr>
          <w:rFonts w:ascii="Arial" w:hAnsi="Arial" w:cs="Arial"/>
          <w:bCs/>
          <w:color w:val="000000" w:themeColor="text1"/>
        </w:rPr>
        <w:t xml:space="preserve"> lower Cost Per Jobs Created or Saved </w:t>
      </w:r>
      <w:r w:rsidR="003A7CAE" w:rsidRPr="00BF77D4">
        <w:rPr>
          <w:rFonts w:ascii="Arial" w:hAnsi="Arial" w:cs="Arial"/>
          <w:bCs/>
          <w:color w:val="000000" w:themeColor="text1"/>
        </w:rPr>
        <w:t xml:space="preserve">shows a higher Return on investment (ROI). </w:t>
      </w:r>
      <w:r w:rsidR="00B73924" w:rsidRPr="00BF77D4">
        <w:rPr>
          <w:rFonts w:ascii="Arial" w:hAnsi="Arial" w:cs="Arial"/>
          <w:bCs/>
          <w:color w:val="000000" w:themeColor="text1"/>
        </w:rPr>
        <w:t xml:space="preserve">This being a State measure the data </w:t>
      </w:r>
      <w:r w:rsidR="0012006C" w:rsidRPr="00BF77D4">
        <w:rPr>
          <w:rFonts w:ascii="Arial" w:hAnsi="Arial" w:cs="Arial"/>
          <w:bCs/>
          <w:color w:val="000000" w:themeColor="text1"/>
        </w:rPr>
        <w:t xml:space="preserve">and funding allocation </w:t>
      </w:r>
      <w:r w:rsidR="00B73924" w:rsidRPr="00BF77D4">
        <w:rPr>
          <w:rFonts w:ascii="Arial" w:hAnsi="Arial" w:cs="Arial"/>
          <w:bCs/>
          <w:color w:val="000000" w:themeColor="text1"/>
        </w:rPr>
        <w:t>used is f</w:t>
      </w:r>
      <w:r w:rsidR="0012006C" w:rsidRPr="00BF77D4">
        <w:rPr>
          <w:rFonts w:ascii="Arial" w:hAnsi="Arial" w:cs="Arial"/>
          <w:bCs/>
          <w:color w:val="000000" w:themeColor="text1"/>
        </w:rPr>
        <w:t>or</w:t>
      </w:r>
      <w:r w:rsidR="00B73924" w:rsidRPr="00BF77D4">
        <w:rPr>
          <w:rFonts w:ascii="Arial" w:hAnsi="Arial" w:cs="Arial"/>
          <w:bCs/>
          <w:color w:val="000000" w:themeColor="text1"/>
        </w:rPr>
        <w:t xml:space="preserve"> </w:t>
      </w:r>
      <w:r w:rsidR="0012006C" w:rsidRPr="00BF77D4">
        <w:rPr>
          <w:rFonts w:ascii="Arial" w:hAnsi="Arial" w:cs="Arial"/>
          <w:bCs/>
          <w:color w:val="000000" w:themeColor="text1"/>
        </w:rPr>
        <w:t>the</w:t>
      </w:r>
      <w:r w:rsidR="00B73924" w:rsidRPr="00BF77D4">
        <w:rPr>
          <w:rFonts w:ascii="Arial" w:hAnsi="Arial" w:cs="Arial"/>
          <w:bCs/>
          <w:color w:val="000000" w:themeColor="text1"/>
        </w:rPr>
        <w:t xml:space="preserve"> State Fiscal Year period</w:t>
      </w:r>
      <w:r w:rsidR="00503364">
        <w:rPr>
          <w:rFonts w:ascii="Arial" w:hAnsi="Arial" w:cs="Arial"/>
          <w:bCs/>
          <w:color w:val="000000" w:themeColor="text1"/>
        </w:rPr>
        <w:t>.</w:t>
      </w:r>
      <w:r w:rsidR="00B73924" w:rsidRPr="00BF77D4">
        <w:rPr>
          <w:rFonts w:ascii="Arial" w:hAnsi="Arial" w:cs="Arial"/>
          <w:bCs/>
          <w:color w:val="000000" w:themeColor="text1"/>
        </w:rPr>
        <w:t xml:space="preserve"> </w:t>
      </w:r>
      <w:r w:rsidR="00F4380A" w:rsidRPr="00BF77D4">
        <w:rPr>
          <w:rFonts w:ascii="Arial" w:hAnsi="Arial" w:cs="Arial"/>
          <w:bCs/>
          <w:color w:val="000000" w:themeColor="text1"/>
        </w:rPr>
        <w:t>Use the Neoserra Calculation Criteria Worksheet posted on the Intranet</w:t>
      </w:r>
      <w:r w:rsidR="00F4380A" w:rsidRPr="00BF77D4">
        <w:rPr>
          <w:rFonts w:ascii="Arial" w:hAnsi="Arial" w:cs="Arial"/>
          <w:b/>
          <w:color w:val="000000" w:themeColor="text1"/>
        </w:rPr>
        <w:t xml:space="preserve"> </w:t>
      </w:r>
      <w:r w:rsidR="00F4380A" w:rsidRPr="00BF77D4">
        <w:rPr>
          <w:rFonts w:ascii="Arial" w:hAnsi="Arial" w:cs="Arial"/>
          <w:bCs/>
          <w:color w:val="000000" w:themeColor="text1"/>
        </w:rPr>
        <w:t>to assist in the data entry of this measure</w:t>
      </w:r>
      <w:r w:rsidR="00BF77D4">
        <w:rPr>
          <w:rFonts w:ascii="Arial" w:hAnsi="Arial" w:cs="Arial"/>
          <w:b/>
          <w:color w:val="000000" w:themeColor="text1"/>
        </w:rPr>
        <w:t>.</w:t>
      </w:r>
      <w:r w:rsidR="00F4380A" w:rsidRPr="00BF77D4">
        <w:rPr>
          <w:rFonts w:ascii="Arial" w:hAnsi="Arial" w:cs="Arial"/>
          <w:b/>
          <w:color w:val="000000" w:themeColor="text1"/>
        </w:rPr>
        <w:t xml:space="preserve"> </w:t>
      </w:r>
    </w:p>
    <w:p w14:paraId="3659036D" w14:textId="77777777" w:rsidR="008A0BF1" w:rsidRPr="00BF77D4" w:rsidRDefault="008A0BF1" w:rsidP="008A0BF1">
      <w:pPr>
        <w:spacing w:after="0"/>
        <w:jc w:val="center"/>
        <w:rPr>
          <w:rFonts w:ascii="Arial" w:hAnsi="Arial" w:cs="Arial"/>
          <w:b/>
          <w:color w:val="000000" w:themeColor="text1"/>
          <w:u w:val="single"/>
        </w:rPr>
      </w:pPr>
    </w:p>
    <w:p w14:paraId="16A1383B" w14:textId="245C5A19" w:rsidR="00AF4E66" w:rsidRPr="00BF77D4" w:rsidRDefault="00051B52" w:rsidP="006B70B1">
      <w:pPr>
        <w:spacing w:line="240" w:lineRule="auto"/>
        <w:ind w:left="360"/>
        <w:rPr>
          <w:rFonts w:ascii="Arial" w:hAnsi="Arial" w:cs="Arial"/>
          <w:b/>
          <w:color w:val="000000" w:themeColor="text1"/>
          <w:u w:val="single"/>
        </w:rPr>
      </w:pPr>
      <w:r w:rsidRPr="00BF77D4">
        <w:rPr>
          <w:rFonts w:ascii="Arial" w:hAnsi="Arial" w:cs="Arial"/>
          <w:b/>
          <w:color w:val="000000" w:themeColor="text1"/>
          <w:u w:val="single"/>
        </w:rPr>
        <w:t>J</w:t>
      </w:r>
      <w:r w:rsidR="00AF4E66" w:rsidRPr="00BF77D4">
        <w:rPr>
          <w:rFonts w:ascii="Arial" w:hAnsi="Arial" w:cs="Arial"/>
          <w:b/>
          <w:color w:val="000000" w:themeColor="text1"/>
          <w:u w:val="single"/>
        </w:rPr>
        <w:t xml:space="preserve">obs </w:t>
      </w:r>
      <w:r w:rsidRPr="00BF77D4">
        <w:rPr>
          <w:rFonts w:ascii="Arial" w:hAnsi="Arial" w:cs="Arial"/>
          <w:b/>
          <w:color w:val="000000" w:themeColor="text1"/>
          <w:u w:val="single"/>
        </w:rPr>
        <w:t>C</w:t>
      </w:r>
      <w:r w:rsidR="00AF4E66" w:rsidRPr="00BF77D4">
        <w:rPr>
          <w:rFonts w:ascii="Arial" w:hAnsi="Arial" w:cs="Arial"/>
          <w:b/>
          <w:color w:val="000000" w:themeColor="text1"/>
          <w:u w:val="single"/>
        </w:rPr>
        <w:t>reated</w:t>
      </w:r>
      <w:r w:rsidR="00AF4E66" w:rsidRPr="00BF77D4">
        <w:rPr>
          <w:rFonts w:ascii="Arial" w:hAnsi="Arial" w:cs="Arial"/>
          <w:b/>
          <w:color w:val="000000" w:themeColor="text1"/>
        </w:rPr>
        <w:t xml:space="preserve">: </w:t>
      </w:r>
      <w:r w:rsidR="004051EE" w:rsidRPr="00BF77D4">
        <w:rPr>
          <w:rFonts w:ascii="Arial" w:hAnsi="Arial" w:cs="Arial"/>
          <w:b/>
          <w:bCs/>
          <w:color w:val="000000" w:themeColor="text1"/>
        </w:rPr>
        <w:t>A</w:t>
      </w:r>
      <w:r w:rsidR="00AF4E66" w:rsidRPr="00BF77D4">
        <w:rPr>
          <w:rFonts w:ascii="Arial" w:hAnsi="Arial" w:cs="Arial"/>
          <w:b/>
          <w:bCs/>
          <w:color w:val="000000" w:themeColor="text1"/>
        </w:rPr>
        <w:t xml:space="preserve"> job may </w:t>
      </w:r>
      <w:r w:rsidR="00AF4E66" w:rsidRPr="00BF77D4">
        <w:rPr>
          <w:rFonts w:ascii="Arial" w:hAnsi="Arial" w:cs="Arial"/>
          <w:b/>
          <w:bCs/>
          <w:noProof/>
          <w:color w:val="000000" w:themeColor="text1"/>
        </w:rPr>
        <w:t>be reported</w:t>
      </w:r>
      <w:r w:rsidR="00AF4E66" w:rsidRPr="00BF77D4">
        <w:rPr>
          <w:rFonts w:ascii="Arial" w:hAnsi="Arial" w:cs="Arial"/>
          <w:b/>
          <w:bCs/>
          <w:color w:val="000000" w:themeColor="text1"/>
        </w:rPr>
        <w:t xml:space="preserve"> as created if </w:t>
      </w:r>
      <w:r w:rsidR="00AF4E66" w:rsidRPr="00BF77D4">
        <w:rPr>
          <w:rFonts w:ascii="Arial" w:hAnsi="Arial" w:cs="Arial"/>
          <w:b/>
          <w:bCs/>
          <w:noProof/>
          <w:color w:val="000000" w:themeColor="text1"/>
        </w:rPr>
        <w:t xml:space="preserve">a </w:t>
      </w:r>
      <w:r w:rsidR="00C52E86" w:rsidRPr="00BF77D4">
        <w:rPr>
          <w:rFonts w:ascii="Arial" w:hAnsi="Arial" w:cs="Arial"/>
          <w:b/>
          <w:bCs/>
          <w:noProof/>
          <w:color w:val="000000" w:themeColor="text1"/>
        </w:rPr>
        <w:t xml:space="preserve">client creates and fills a new position </w:t>
      </w:r>
      <w:r w:rsidR="00AF4E66" w:rsidRPr="00BF77D4">
        <w:rPr>
          <w:rFonts w:ascii="Arial" w:hAnsi="Arial" w:cs="Arial"/>
          <w:b/>
          <w:bCs/>
          <w:color w:val="000000" w:themeColor="text1"/>
        </w:rPr>
        <w:t>as a direct res</w:t>
      </w:r>
      <w:r w:rsidR="00025CDF" w:rsidRPr="00BF77D4">
        <w:rPr>
          <w:rFonts w:ascii="Arial" w:hAnsi="Arial" w:cs="Arial"/>
          <w:b/>
          <w:bCs/>
          <w:color w:val="000000" w:themeColor="text1"/>
        </w:rPr>
        <w:t>ult of assistance from the NMSBDC Program</w:t>
      </w:r>
      <w:r w:rsidR="00025CDF" w:rsidRPr="00BF77D4">
        <w:rPr>
          <w:rFonts w:ascii="Arial" w:hAnsi="Arial" w:cs="Arial"/>
          <w:color w:val="000000" w:themeColor="text1"/>
        </w:rPr>
        <w:t>.</w:t>
      </w:r>
      <w:r w:rsidR="00AF4E66" w:rsidRPr="00BF77D4">
        <w:rPr>
          <w:rFonts w:ascii="Arial" w:hAnsi="Arial" w:cs="Arial"/>
          <w:color w:val="000000" w:themeColor="text1"/>
        </w:rPr>
        <w:t xml:space="preserve"> The business must meet the definition of an </w:t>
      </w:r>
      <w:r w:rsidR="00025CDF" w:rsidRPr="00BF77D4">
        <w:rPr>
          <w:rFonts w:ascii="Arial" w:hAnsi="Arial" w:cs="Arial"/>
          <w:color w:val="000000" w:themeColor="text1"/>
        </w:rPr>
        <w:t>NM</w:t>
      </w:r>
      <w:r w:rsidR="00AF4E66" w:rsidRPr="00BF77D4">
        <w:rPr>
          <w:rFonts w:ascii="Arial" w:hAnsi="Arial" w:cs="Arial"/>
          <w:color w:val="000000" w:themeColor="text1"/>
        </w:rPr>
        <w:t>SBDC</w:t>
      </w:r>
      <w:r w:rsidR="00025CDF" w:rsidRPr="00BF77D4">
        <w:rPr>
          <w:rFonts w:ascii="Arial" w:hAnsi="Arial" w:cs="Arial"/>
          <w:color w:val="000000" w:themeColor="text1"/>
        </w:rPr>
        <w:t xml:space="preserve"> C</w:t>
      </w:r>
      <w:r w:rsidR="00AF4E66" w:rsidRPr="00BF77D4">
        <w:rPr>
          <w:rFonts w:ascii="Arial" w:hAnsi="Arial" w:cs="Arial"/>
          <w:color w:val="000000" w:themeColor="text1"/>
        </w:rPr>
        <w:t>lient and complete</w:t>
      </w:r>
      <w:r w:rsidR="00025CDF" w:rsidRPr="00BF77D4">
        <w:rPr>
          <w:rFonts w:ascii="Arial" w:hAnsi="Arial" w:cs="Arial"/>
          <w:color w:val="000000" w:themeColor="text1"/>
        </w:rPr>
        <w:t xml:space="preserve"> a Client Economic I</w:t>
      </w:r>
      <w:r w:rsidR="00827E2F" w:rsidRPr="00BF77D4">
        <w:rPr>
          <w:rFonts w:ascii="Arial" w:hAnsi="Arial" w:cs="Arial"/>
          <w:color w:val="000000" w:themeColor="text1"/>
        </w:rPr>
        <w:t>mpact Report</w:t>
      </w:r>
      <w:r w:rsidR="00AF4E66" w:rsidRPr="00BF77D4">
        <w:rPr>
          <w:rFonts w:ascii="Arial" w:hAnsi="Arial" w:cs="Arial"/>
          <w:color w:val="000000" w:themeColor="text1"/>
        </w:rPr>
        <w:t xml:space="preserve"> signifying that the </w:t>
      </w:r>
      <w:r w:rsidR="00025CDF" w:rsidRPr="00BF77D4">
        <w:rPr>
          <w:rFonts w:ascii="Arial" w:hAnsi="Arial" w:cs="Arial"/>
          <w:color w:val="000000" w:themeColor="text1"/>
        </w:rPr>
        <w:t>NM</w:t>
      </w:r>
      <w:r w:rsidR="00AF4E66" w:rsidRPr="00BF77D4">
        <w:rPr>
          <w:rFonts w:ascii="Arial" w:hAnsi="Arial" w:cs="Arial"/>
          <w:color w:val="000000" w:themeColor="text1"/>
        </w:rPr>
        <w:t>SBDC</w:t>
      </w:r>
      <w:r w:rsidR="00025CDF" w:rsidRPr="00BF77D4">
        <w:rPr>
          <w:rFonts w:ascii="Arial" w:hAnsi="Arial" w:cs="Arial"/>
          <w:color w:val="000000" w:themeColor="text1"/>
        </w:rPr>
        <w:t xml:space="preserve"> Program’s</w:t>
      </w:r>
      <w:r w:rsidR="00AF4E66" w:rsidRPr="00BF77D4">
        <w:rPr>
          <w:rFonts w:ascii="Arial" w:hAnsi="Arial" w:cs="Arial"/>
          <w:color w:val="000000" w:themeColor="text1"/>
        </w:rPr>
        <w:t xml:space="preserve"> assistance has resulted in the creation of a new job</w:t>
      </w:r>
      <w:r w:rsidR="006B70B1">
        <w:rPr>
          <w:rFonts w:ascii="Arial" w:hAnsi="Arial" w:cs="Arial"/>
          <w:color w:val="000000" w:themeColor="text1"/>
        </w:rPr>
        <w:t>.</w:t>
      </w:r>
      <w:r w:rsidR="00AF4E66" w:rsidRPr="00BF77D4">
        <w:rPr>
          <w:rFonts w:ascii="Arial" w:hAnsi="Arial" w:cs="Arial"/>
          <w:color w:val="000000" w:themeColor="text1"/>
        </w:rPr>
        <w:t xml:space="preserve"> </w:t>
      </w:r>
    </w:p>
    <w:p w14:paraId="41F6EF33" w14:textId="77777777" w:rsidR="00AF4E66" w:rsidRPr="00BF77D4" w:rsidRDefault="00AF4E66" w:rsidP="00AF4E66">
      <w:pPr>
        <w:spacing w:after="0" w:line="240" w:lineRule="auto"/>
        <w:ind w:firstLine="360"/>
        <w:rPr>
          <w:rFonts w:ascii="Arial" w:hAnsi="Arial" w:cs="Arial"/>
          <w:color w:val="000000" w:themeColor="text1"/>
        </w:rPr>
      </w:pPr>
      <w:r w:rsidRPr="00BF77D4">
        <w:rPr>
          <w:rFonts w:ascii="Arial" w:hAnsi="Arial" w:cs="Arial"/>
          <w:i/>
          <w:color w:val="000000" w:themeColor="text1"/>
        </w:rPr>
        <w:t>What to Count as ‘Jobs Created’</w:t>
      </w:r>
      <w:r w:rsidRPr="00BF77D4">
        <w:rPr>
          <w:rFonts w:ascii="Arial" w:hAnsi="Arial" w:cs="Arial"/>
          <w:color w:val="000000" w:themeColor="text1"/>
        </w:rPr>
        <w:t>:</w:t>
      </w:r>
    </w:p>
    <w:p w14:paraId="3943411C" w14:textId="77777777" w:rsidR="00AF4E66" w:rsidRPr="00BF77D4" w:rsidRDefault="00AF4E66" w:rsidP="00AF4E66">
      <w:pPr>
        <w:pStyle w:val="ListParagraph"/>
        <w:numPr>
          <w:ilvl w:val="0"/>
          <w:numId w:val="2"/>
        </w:numPr>
        <w:spacing w:after="0" w:line="240" w:lineRule="auto"/>
        <w:ind w:left="1080"/>
        <w:rPr>
          <w:rFonts w:ascii="Arial" w:hAnsi="Arial" w:cs="Arial"/>
          <w:color w:val="000000" w:themeColor="text1"/>
        </w:rPr>
      </w:pPr>
      <w:r w:rsidRPr="00BF77D4">
        <w:rPr>
          <w:rFonts w:ascii="Arial" w:hAnsi="Arial" w:cs="Arial"/>
          <w:color w:val="000000" w:themeColor="text1"/>
        </w:rPr>
        <w:t xml:space="preserve">Jobs resulting from </w:t>
      </w:r>
      <w:r w:rsidRPr="00BF77D4">
        <w:rPr>
          <w:rFonts w:ascii="Arial" w:hAnsi="Arial" w:cs="Arial"/>
          <w:noProof/>
          <w:color w:val="000000" w:themeColor="text1"/>
        </w:rPr>
        <w:t>expansion</w:t>
      </w:r>
    </w:p>
    <w:p w14:paraId="642590E2" w14:textId="77777777" w:rsidR="00AF4E66" w:rsidRPr="00BF77D4" w:rsidRDefault="00AF4E66" w:rsidP="00AF4E66">
      <w:pPr>
        <w:pStyle w:val="ListParagraph"/>
        <w:numPr>
          <w:ilvl w:val="0"/>
          <w:numId w:val="2"/>
        </w:numPr>
        <w:spacing w:after="0" w:line="240" w:lineRule="auto"/>
        <w:ind w:left="1080"/>
        <w:rPr>
          <w:rFonts w:ascii="Arial" w:hAnsi="Arial" w:cs="Arial"/>
          <w:color w:val="000000" w:themeColor="text1"/>
        </w:rPr>
      </w:pPr>
      <w:r w:rsidRPr="00BF77D4">
        <w:rPr>
          <w:rFonts w:ascii="Arial" w:hAnsi="Arial" w:cs="Arial"/>
          <w:color w:val="000000" w:themeColor="text1"/>
        </w:rPr>
        <w:t xml:space="preserve">Jobs resulting from start-ups, in which case the owner(s) should also </w:t>
      </w:r>
      <w:r w:rsidRPr="00BF77D4">
        <w:rPr>
          <w:rFonts w:ascii="Arial" w:hAnsi="Arial" w:cs="Arial"/>
          <w:noProof/>
          <w:color w:val="000000" w:themeColor="text1"/>
        </w:rPr>
        <w:t>be counted</w:t>
      </w:r>
      <w:r w:rsidRPr="00BF77D4">
        <w:rPr>
          <w:rFonts w:ascii="Arial" w:hAnsi="Arial" w:cs="Arial"/>
          <w:color w:val="000000" w:themeColor="text1"/>
        </w:rPr>
        <w:t xml:space="preserve"> as </w:t>
      </w:r>
      <w:r w:rsidRPr="00BF77D4">
        <w:rPr>
          <w:rFonts w:ascii="Arial" w:hAnsi="Arial" w:cs="Arial"/>
          <w:noProof/>
          <w:color w:val="000000" w:themeColor="text1"/>
        </w:rPr>
        <w:t>new</w:t>
      </w:r>
      <w:r w:rsidRPr="00BF77D4">
        <w:rPr>
          <w:rFonts w:ascii="Arial" w:hAnsi="Arial" w:cs="Arial"/>
          <w:color w:val="000000" w:themeColor="text1"/>
        </w:rPr>
        <w:t xml:space="preserve"> job(s) created. </w:t>
      </w:r>
    </w:p>
    <w:p w14:paraId="10341368" w14:textId="77777777" w:rsidR="00AF4E66" w:rsidRPr="00BF77D4" w:rsidRDefault="00AF4E66" w:rsidP="00AF4E66">
      <w:pPr>
        <w:pStyle w:val="ListParagraph"/>
        <w:numPr>
          <w:ilvl w:val="0"/>
          <w:numId w:val="2"/>
        </w:numPr>
        <w:spacing w:after="0" w:line="240" w:lineRule="auto"/>
        <w:ind w:left="1080"/>
        <w:rPr>
          <w:rFonts w:ascii="Arial" w:hAnsi="Arial" w:cs="Arial"/>
          <w:color w:val="000000" w:themeColor="text1"/>
        </w:rPr>
      </w:pPr>
      <w:r w:rsidRPr="00BF77D4">
        <w:rPr>
          <w:rFonts w:ascii="Arial" w:hAnsi="Arial" w:cs="Arial"/>
          <w:color w:val="000000" w:themeColor="text1"/>
        </w:rPr>
        <w:t xml:space="preserve">In cases where a business </w:t>
      </w:r>
      <w:r w:rsidRPr="00BF77D4">
        <w:rPr>
          <w:rFonts w:ascii="Arial" w:hAnsi="Arial" w:cs="Arial"/>
          <w:noProof/>
          <w:color w:val="000000" w:themeColor="text1"/>
        </w:rPr>
        <w:t>is purchased</w:t>
      </w:r>
      <w:r w:rsidRPr="00BF77D4">
        <w:rPr>
          <w:rFonts w:ascii="Arial" w:hAnsi="Arial" w:cs="Arial"/>
          <w:color w:val="000000" w:themeColor="text1"/>
        </w:rPr>
        <w:t xml:space="preserve">, the new owner is a job created if they are actively managing the business.  Any new positions hired by the </w:t>
      </w:r>
      <w:r w:rsidRPr="00BF77D4">
        <w:rPr>
          <w:rFonts w:ascii="Arial" w:hAnsi="Arial" w:cs="Arial"/>
          <w:noProof/>
          <w:color w:val="000000" w:themeColor="text1"/>
        </w:rPr>
        <w:t>new</w:t>
      </w:r>
      <w:r w:rsidRPr="00BF77D4">
        <w:rPr>
          <w:rFonts w:ascii="Arial" w:hAnsi="Arial" w:cs="Arial"/>
          <w:color w:val="000000" w:themeColor="text1"/>
        </w:rPr>
        <w:t xml:space="preserve"> owner </w:t>
      </w:r>
      <w:r w:rsidRPr="00BF77D4">
        <w:rPr>
          <w:rFonts w:ascii="Arial" w:hAnsi="Arial" w:cs="Arial"/>
          <w:noProof/>
          <w:color w:val="000000" w:themeColor="text1"/>
        </w:rPr>
        <w:t>are also counted</w:t>
      </w:r>
      <w:r w:rsidRPr="00BF77D4">
        <w:rPr>
          <w:rFonts w:ascii="Arial" w:hAnsi="Arial" w:cs="Arial"/>
          <w:color w:val="000000" w:themeColor="text1"/>
        </w:rPr>
        <w:t xml:space="preserve"> as a job(s) </w:t>
      </w:r>
      <w:r w:rsidRPr="00BF77D4">
        <w:rPr>
          <w:rFonts w:ascii="Arial" w:hAnsi="Arial" w:cs="Arial"/>
          <w:noProof/>
          <w:color w:val="000000" w:themeColor="text1"/>
        </w:rPr>
        <w:t>created</w:t>
      </w:r>
      <w:r w:rsidRPr="00BF77D4">
        <w:rPr>
          <w:rFonts w:ascii="Arial" w:hAnsi="Arial" w:cs="Arial"/>
          <w:color w:val="000000" w:themeColor="text1"/>
        </w:rPr>
        <w:t>.</w:t>
      </w:r>
    </w:p>
    <w:p w14:paraId="38D94670" w14:textId="77777777" w:rsidR="00AF4E66" w:rsidRPr="00BF77D4" w:rsidRDefault="00AF4E66" w:rsidP="00AF4E66">
      <w:pPr>
        <w:pStyle w:val="ListParagraph"/>
        <w:numPr>
          <w:ilvl w:val="0"/>
          <w:numId w:val="2"/>
        </w:numPr>
        <w:spacing w:after="0" w:line="240" w:lineRule="auto"/>
        <w:ind w:left="1080"/>
        <w:rPr>
          <w:rFonts w:ascii="Arial" w:hAnsi="Arial" w:cs="Arial"/>
          <w:color w:val="000000" w:themeColor="text1"/>
        </w:rPr>
      </w:pPr>
      <w:r w:rsidRPr="00BF77D4">
        <w:rPr>
          <w:rFonts w:ascii="Arial" w:hAnsi="Arial" w:cs="Arial"/>
          <w:color w:val="000000" w:themeColor="text1"/>
        </w:rPr>
        <w:t xml:space="preserve">New positions that are on the business owner’s payroll should </w:t>
      </w:r>
      <w:r w:rsidRPr="00BF77D4">
        <w:rPr>
          <w:rFonts w:ascii="Arial" w:hAnsi="Arial" w:cs="Arial"/>
          <w:noProof/>
          <w:color w:val="000000" w:themeColor="text1"/>
        </w:rPr>
        <w:t>be counted</w:t>
      </w:r>
      <w:r w:rsidRPr="00BF77D4">
        <w:rPr>
          <w:rFonts w:ascii="Arial" w:hAnsi="Arial" w:cs="Arial"/>
          <w:color w:val="000000" w:themeColor="text1"/>
        </w:rPr>
        <w:t xml:space="preserve"> as a job created.  Seasonal workers that </w:t>
      </w:r>
      <w:r w:rsidRPr="00BF77D4">
        <w:rPr>
          <w:rFonts w:ascii="Arial" w:hAnsi="Arial" w:cs="Arial"/>
          <w:noProof/>
          <w:color w:val="000000" w:themeColor="text1"/>
        </w:rPr>
        <w:t>are employed</w:t>
      </w:r>
      <w:r w:rsidRPr="00BF77D4">
        <w:rPr>
          <w:rFonts w:ascii="Arial" w:hAnsi="Arial" w:cs="Arial"/>
          <w:color w:val="000000" w:themeColor="text1"/>
        </w:rPr>
        <w:t xml:space="preserve"> for at least 30 consecutive days are legitimate job creation.</w:t>
      </w:r>
    </w:p>
    <w:p w14:paraId="026FFF5F" w14:textId="77777777" w:rsidR="00AF4E66" w:rsidRPr="00BF77D4" w:rsidRDefault="00AF4E66" w:rsidP="00AF4E66">
      <w:pPr>
        <w:spacing w:after="0" w:line="240" w:lineRule="auto"/>
        <w:ind w:left="360" w:firstLine="360"/>
        <w:rPr>
          <w:rFonts w:ascii="Arial" w:hAnsi="Arial" w:cs="Arial"/>
          <w:color w:val="000000" w:themeColor="text1"/>
        </w:rPr>
      </w:pPr>
    </w:p>
    <w:p w14:paraId="1DA49A55" w14:textId="77777777" w:rsidR="00AF4E66" w:rsidRPr="00BF77D4" w:rsidRDefault="00AF4E66" w:rsidP="00AF4E66">
      <w:pPr>
        <w:spacing w:after="0" w:line="240" w:lineRule="auto"/>
        <w:ind w:left="360" w:firstLine="360"/>
        <w:rPr>
          <w:rFonts w:ascii="Arial" w:hAnsi="Arial" w:cs="Arial"/>
          <w:color w:val="000000" w:themeColor="text1"/>
        </w:rPr>
      </w:pPr>
      <w:r w:rsidRPr="00BF77D4">
        <w:rPr>
          <w:rFonts w:ascii="Arial" w:hAnsi="Arial" w:cs="Arial"/>
          <w:i/>
          <w:color w:val="000000" w:themeColor="text1"/>
        </w:rPr>
        <w:t>What Not to Count as ‘Jobs Created’</w:t>
      </w:r>
      <w:r w:rsidRPr="00BF77D4">
        <w:rPr>
          <w:rFonts w:ascii="Arial" w:hAnsi="Arial" w:cs="Arial"/>
          <w:color w:val="000000" w:themeColor="text1"/>
        </w:rPr>
        <w:t>:</w:t>
      </w:r>
    </w:p>
    <w:p w14:paraId="4EC178E9" w14:textId="5C01BDBB" w:rsidR="00AF4E66" w:rsidRPr="00BF77D4" w:rsidRDefault="00AF4E66" w:rsidP="00AF4E66">
      <w:pPr>
        <w:pStyle w:val="ListParagraph"/>
        <w:numPr>
          <w:ilvl w:val="0"/>
          <w:numId w:val="4"/>
        </w:numPr>
        <w:spacing w:after="0" w:line="240" w:lineRule="auto"/>
        <w:ind w:left="1080"/>
        <w:rPr>
          <w:rFonts w:ascii="Arial" w:hAnsi="Arial" w:cs="Arial"/>
          <w:color w:val="000000" w:themeColor="text1"/>
        </w:rPr>
      </w:pPr>
      <w:r w:rsidRPr="00BF77D4">
        <w:rPr>
          <w:rFonts w:ascii="Arial" w:hAnsi="Arial" w:cs="Arial"/>
          <w:color w:val="000000" w:themeColor="text1"/>
        </w:rPr>
        <w:t xml:space="preserve">In cases where a business </w:t>
      </w:r>
      <w:r w:rsidRPr="00BF77D4">
        <w:rPr>
          <w:rFonts w:ascii="Arial" w:hAnsi="Arial" w:cs="Arial"/>
          <w:noProof/>
          <w:color w:val="000000" w:themeColor="text1"/>
        </w:rPr>
        <w:t>is purchased</w:t>
      </w:r>
      <w:r w:rsidRPr="00BF77D4">
        <w:rPr>
          <w:rFonts w:ascii="Arial" w:hAnsi="Arial" w:cs="Arial"/>
          <w:color w:val="000000" w:themeColor="text1"/>
        </w:rPr>
        <w:t xml:space="preserve">, the jobs that existed with the old owner and will continue to </w:t>
      </w:r>
      <w:r w:rsidRPr="00BF77D4">
        <w:rPr>
          <w:rFonts w:ascii="Arial" w:hAnsi="Arial" w:cs="Arial"/>
          <w:noProof/>
          <w:color w:val="000000" w:themeColor="text1"/>
        </w:rPr>
        <w:t>exist</w:t>
      </w:r>
      <w:r w:rsidRPr="00BF77D4">
        <w:rPr>
          <w:rFonts w:ascii="Arial" w:hAnsi="Arial" w:cs="Arial"/>
          <w:color w:val="000000" w:themeColor="text1"/>
        </w:rPr>
        <w:t xml:space="preserve"> with the new owner should not </w:t>
      </w:r>
      <w:r w:rsidRPr="00BF77D4">
        <w:rPr>
          <w:rFonts w:ascii="Arial" w:hAnsi="Arial" w:cs="Arial"/>
          <w:noProof/>
          <w:color w:val="000000" w:themeColor="text1"/>
        </w:rPr>
        <w:t>be counted</w:t>
      </w:r>
      <w:r w:rsidRPr="00BF77D4">
        <w:rPr>
          <w:rFonts w:ascii="Arial" w:hAnsi="Arial" w:cs="Arial"/>
          <w:color w:val="000000" w:themeColor="text1"/>
        </w:rPr>
        <w:t xml:space="preserve"> as jobs created.  These should </w:t>
      </w:r>
      <w:r w:rsidRPr="00BF77D4">
        <w:rPr>
          <w:rFonts w:ascii="Arial" w:hAnsi="Arial" w:cs="Arial"/>
          <w:noProof/>
          <w:color w:val="000000" w:themeColor="text1"/>
        </w:rPr>
        <w:t>be classified</w:t>
      </w:r>
      <w:r w:rsidR="00025CDF" w:rsidRPr="00BF77D4">
        <w:rPr>
          <w:rFonts w:ascii="Arial" w:hAnsi="Arial" w:cs="Arial"/>
          <w:color w:val="000000" w:themeColor="text1"/>
        </w:rPr>
        <w:t xml:space="preserve"> as j</w:t>
      </w:r>
      <w:r w:rsidRPr="00BF77D4">
        <w:rPr>
          <w:rFonts w:ascii="Arial" w:hAnsi="Arial" w:cs="Arial"/>
          <w:color w:val="000000" w:themeColor="text1"/>
        </w:rPr>
        <w:t xml:space="preserve">obs </w:t>
      </w:r>
      <w:r w:rsidR="00025CDF" w:rsidRPr="00BF77D4">
        <w:rPr>
          <w:rFonts w:ascii="Arial" w:hAnsi="Arial" w:cs="Arial"/>
          <w:color w:val="000000" w:themeColor="text1"/>
        </w:rPr>
        <w:t>s</w:t>
      </w:r>
      <w:r w:rsidR="00305074" w:rsidRPr="00BF77D4">
        <w:rPr>
          <w:rFonts w:ascii="Arial" w:hAnsi="Arial" w:cs="Arial"/>
          <w:color w:val="000000" w:themeColor="text1"/>
        </w:rPr>
        <w:t>aved</w:t>
      </w:r>
      <w:r w:rsidRPr="00BF77D4">
        <w:rPr>
          <w:rFonts w:ascii="Arial" w:hAnsi="Arial" w:cs="Arial"/>
          <w:color w:val="000000" w:themeColor="text1"/>
        </w:rPr>
        <w:t xml:space="preserve"> if the company received direct SBDC assistance and therefore the client will not have to: lay off positions.</w:t>
      </w:r>
    </w:p>
    <w:p w14:paraId="6F485ECE" w14:textId="35A4DD91" w:rsidR="00AF4E66" w:rsidRPr="00BF77D4" w:rsidRDefault="00AF4E66" w:rsidP="00AF4E66">
      <w:pPr>
        <w:pStyle w:val="ListParagraph"/>
        <w:numPr>
          <w:ilvl w:val="0"/>
          <w:numId w:val="4"/>
        </w:numPr>
        <w:spacing w:after="0" w:line="240" w:lineRule="auto"/>
        <w:ind w:left="1080"/>
        <w:rPr>
          <w:rFonts w:ascii="Arial" w:hAnsi="Arial" w:cs="Arial"/>
          <w:color w:val="000000" w:themeColor="text1"/>
        </w:rPr>
      </w:pPr>
      <w:r w:rsidRPr="00BF77D4">
        <w:rPr>
          <w:rFonts w:ascii="Arial" w:hAnsi="Arial" w:cs="Arial"/>
          <w:noProof/>
          <w:color w:val="000000" w:themeColor="text1"/>
        </w:rPr>
        <w:t>Jobs that were created indirectly as a result of a business start-up or expansion</w:t>
      </w:r>
      <w:r w:rsidRPr="00BF77D4">
        <w:rPr>
          <w:rFonts w:ascii="Arial" w:hAnsi="Arial" w:cs="Arial"/>
          <w:color w:val="000000" w:themeColor="text1"/>
        </w:rPr>
        <w:t>.  Examples include day-</w:t>
      </w:r>
      <w:r w:rsidR="002F3FBA" w:rsidRPr="00BF77D4">
        <w:rPr>
          <w:rFonts w:ascii="Arial" w:hAnsi="Arial" w:cs="Arial"/>
          <w:color w:val="000000" w:themeColor="text1"/>
        </w:rPr>
        <w:t>jobs,</w:t>
      </w:r>
      <w:r w:rsidRPr="00BF77D4">
        <w:rPr>
          <w:rFonts w:ascii="Arial" w:hAnsi="Arial" w:cs="Arial"/>
          <w:color w:val="000000" w:themeColor="text1"/>
        </w:rPr>
        <w:t xml:space="preserve"> or a contractor hired by the client to construct or remodel a building would not qualify as a job created.</w:t>
      </w:r>
    </w:p>
    <w:p w14:paraId="0682E9D8" w14:textId="6460081C" w:rsidR="002E5B25" w:rsidRDefault="00051B52" w:rsidP="006B70B1">
      <w:pPr>
        <w:pStyle w:val="ListParagraph"/>
        <w:spacing w:after="0" w:line="240" w:lineRule="auto"/>
        <w:ind w:left="1080"/>
        <w:rPr>
          <w:rFonts w:ascii="Arial" w:hAnsi="Arial" w:cs="Arial"/>
          <w:color w:val="000000" w:themeColor="text1"/>
        </w:rPr>
      </w:pPr>
      <w:r w:rsidRPr="00BF77D4">
        <w:rPr>
          <w:rFonts w:ascii="Arial" w:hAnsi="Arial" w:cs="Arial"/>
          <w:b/>
          <w:color w:val="000000" w:themeColor="text1"/>
          <w:u w:val="single"/>
        </w:rPr>
        <w:lastRenderedPageBreak/>
        <w:t>J</w:t>
      </w:r>
      <w:r w:rsidR="00AF4E66" w:rsidRPr="00BF77D4">
        <w:rPr>
          <w:rFonts w:ascii="Arial" w:hAnsi="Arial" w:cs="Arial"/>
          <w:b/>
          <w:color w:val="000000" w:themeColor="text1"/>
          <w:u w:val="single"/>
        </w:rPr>
        <w:t xml:space="preserve">obs </w:t>
      </w:r>
      <w:r w:rsidRPr="00BF77D4">
        <w:rPr>
          <w:rFonts w:ascii="Arial" w:hAnsi="Arial" w:cs="Arial"/>
          <w:b/>
          <w:color w:val="000000" w:themeColor="text1"/>
          <w:u w:val="single"/>
        </w:rPr>
        <w:t>S</w:t>
      </w:r>
      <w:r w:rsidR="00AF4E66" w:rsidRPr="00BF77D4">
        <w:rPr>
          <w:rFonts w:ascii="Arial" w:hAnsi="Arial" w:cs="Arial"/>
          <w:b/>
          <w:color w:val="000000" w:themeColor="text1"/>
          <w:u w:val="single"/>
        </w:rPr>
        <w:t>aved</w:t>
      </w:r>
      <w:r w:rsidR="009A66CE" w:rsidRPr="00BF77D4">
        <w:rPr>
          <w:rFonts w:ascii="Arial" w:hAnsi="Arial" w:cs="Arial"/>
          <w:b/>
          <w:color w:val="000000" w:themeColor="text1"/>
          <w:u w:val="single"/>
        </w:rPr>
        <w:t>:</w:t>
      </w:r>
      <w:r w:rsidR="009A66CE" w:rsidRPr="00BF77D4">
        <w:rPr>
          <w:rFonts w:ascii="Arial" w:hAnsi="Arial" w:cs="Arial"/>
          <w:color w:val="000000" w:themeColor="text1"/>
        </w:rPr>
        <w:t xml:space="preserve"> </w:t>
      </w:r>
      <w:r w:rsidR="00AF4E66" w:rsidRPr="00BF77D4">
        <w:rPr>
          <w:rFonts w:ascii="Arial" w:hAnsi="Arial" w:cs="Arial"/>
          <w:b/>
          <w:color w:val="000000" w:themeColor="text1"/>
        </w:rPr>
        <w:t xml:space="preserve"> </w:t>
      </w:r>
      <w:r w:rsidR="00AF4E66" w:rsidRPr="00BF77D4">
        <w:rPr>
          <w:rFonts w:ascii="Arial" w:hAnsi="Arial" w:cs="Arial"/>
          <w:b/>
          <w:bCs/>
          <w:color w:val="000000" w:themeColor="text1"/>
        </w:rPr>
        <w:t xml:space="preserve">A job may </w:t>
      </w:r>
      <w:r w:rsidR="00AF4E66" w:rsidRPr="00BF77D4">
        <w:rPr>
          <w:rFonts w:ascii="Arial" w:hAnsi="Arial" w:cs="Arial"/>
          <w:b/>
          <w:bCs/>
          <w:noProof/>
          <w:color w:val="000000" w:themeColor="text1"/>
        </w:rPr>
        <w:t>be counted</w:t>
      </w:r>
      <w:r w:rsidR="00AF4E66" w:rsidRPr="00BF77D4">
        <w:rPr>
          <w:rFonts w:ascii="Arial" w:hAnsi="Arial" w:cs="Arial"/>
          <w:b/>
          <w:bCs/>
          <w:color w:val="000000" w:themeColor="text1"/>
        </w:rPr>
        <w:t xml:space="preserve"> as saved if the </w:t>
      </w:r>
      <w:r w:rsidR="002137D4" w:rsidRPr="00BF77D4">
        <w:rPr>
          <w:rFonts w:ascii="Arial" w:hAnsi="Arial" w:cs="Arial"/>
          <w:b/>
          <w:bCs/>
          <w:color w:val="000000" w:themeColor="text1"/>
        </w:rPr>
        <w:t>NM</w:t>
      </w:r>
      <w:r w:rsidR="00AF4E66" w:rsidRPr="00BF77D4">
        <w:rPr>
          <w:rFonts w:ascii="Arial" w:hAnsi="Arial" w:cs="Arial"/>
          <w:b/>
          <w:bCs/>
          <w:color w:val="000000" w:themeColor="text1"/>
        </w:rPr>
        <w:t>SBDC has provided counseling to a client of an action they need to take</w:t>
      </w:r>
      <w:r w:rsidR="00B73924" w:rsidRPr="00BF77D4">
        <w:rPr>
          <w:rFonts w:ascii="Arial" w:hAnsi="Arial" w:cs="Arial"/>
          <w:b/>
          <w:bCs/>
          <w:color w:val="000000" w:themeColor="text1"/>
        </w:rPr>
        <w:t xml:space="preserve"> or not take </w:t>
      </w:r>
      <w:r w:rsidR="00AF4E66" w:rsidRPr="00BF77D4">
        <w:rPr>
          <w:rFonts w:ascii="Arial" w:hAnsi="Arial" w:cs="Arial"/>
          <w:b/>
          <w:bCs/>
          <w:color w:val="000000" w:themeColor="text1"/>
        </w:rPr>
        <w:t xml:space="preserve">to avoid </w:t>
      </w:r>
      <w:r w:rsidR="00B73924" w:rsidRPr="00BF77D4">
        <w:rPr>
          <w:rFonts w:ascii="Arial" w:hAnsi="Arial" w:cs="Arial"/>
          <w:b/>
          <w:bCs/>
          <w:color w:val="000000" w:themeColor="text1"/>
        </w:rPr>
        <w:t xml:space="preserve">negative business </w:t>
      </w:r>
      <w:r w:rsidR="00F4380A" w:rsidRPr="00BF77D4">
        <w:rPr>
          <w:rFonts w:ascii="Arial" w:hAnsi="Arial" w:cs="Arial"/>
          <w:b/>
          <w:bCs/>
          <w:color w:val="000000" w:themeColor="text1"/>
        </w:rPr>
        <w:t xml:space="preserve">impact </w:t>
      </w:r>
      <w:r w:rsidR="00AF4E66" w:rsidRPr="00BF77D4">
        <w:rPr>
          <w:rFonts w:ascii="Arial" w:hAnsi="Arial" w:cs="Arial"/>
          <w:b/>
          <w:bCs/>
          <w:color w:val="000000" w:themeColor="text1"/>
        </w:rPr>
        <w:t>and the client follows the advice</w:t>
      </w:r>
      <w:r w:rsidR="00AF4E66" w:rsidRPr="00BF77D4">
        <w:rPr>
          <w:rFonts w:ascii="Arial" w:hAnsi="Arial" w:cs="Arial"/>
          <w:color w:val="000000" w:themeColor="text1"/>
        </w:rPr>
        <w:t xml:space="preserve">. A job may </w:t>
      </w:r>
      <w:r w:rsidR="00AF4E66" w:rsidRPr="00BF77D4">
        <w:rPr>
          <w:rFonts w:ascii="Arial" w:hAnsi="Arial" w:cs="Arial"/>
          <w:noProof/>
          <w:color w:val="000000" w:themeColor="text1"/>
        </w:rPr>
        <w:t>be counted</w:t>
      </w:r>
      <w:r w:rsidR="00AF4E66" w:rsidRPr="00BF77D4">
        <w:rPr>
          <w:rFonts w:ascii="Arial" w:hAnsi="Arial" w:cs="Arial"/>
          <w:color w:val="000000" w:themeColor="text1"/>
        </w:rPr>
        <w:t xml:space="preserve"> as saved if the</w:t>
      </w:r>
      <w:r w:rsidR="00D2613B">
        <w:rPr>
          <w:rFonts w:ascii="Arial" w:hAnsi="Arial" w:cs="Arial"/>
          <w:color w:val="000000" w:themeColor="text1"/>
        </w:rPr>
        <w:t xml:space="preserve"> </w:t>
      </w:r>
      <w:r w:rsidR="00E20D6A" w:rsidRPr="00D2613B">
        <w:rPr>
          <w:rFonts w:ascii="Arial" w:hAnsi="Arial" w:cs="Arial"/>
        </w:rPr>
        <w:t xml:space="preserve">small business </w:t>
      </w:r>
      <w:r w:rsidR="00AF4E66" w:rsidRPr="00BF77D4">
        <w:rPr>
          <w:rFonts w:ascii="Arial" w:hAnsi="Arial" w:cs="Arial"/>
          <w:color w:val="000000" w:themeColor="text1"/>
        </w:rPr>
        <w:t xml:space="preserve">received direct SBDC assistance and therefore the client will </w:t>
      </w:r>
      <w:r w:rsidR="006D01E6" w:rsidRPr="00BF77D4">
        <w:rPr>
          <w:rFonts w:ascii="Arial" w:hAnsi="Arial" w:cs="Arial"/>
          <w:color w:val="000000" w:themeColor="text1"/>
        </w:rPr>
        <w:t>not have to: lay off positions,</w:t>
      </w:r>
      <w:r w:rsidR="00AF4E66" w:rsidRPr="00BF77D4">
        <w:rPr>
          <w:rFonts w:ascii="Arial" w:hAnsi="Arial" w:cs="Arial"/>
          <w:color w:val="000000" w:themeColor="text1"/>
        </w:rPr>
        <w:t xml:space="preserve"> temporarily or permanently; move out of the </w:t>
      </w:r>
      <w:r w:rsidR="002137D4" w:rsidRPr="00BF77D4">
        <w:rPr>
          <w:rFonts w:ascii="Arial" w:hAnsi="Arial" w:cs="Arial"/>
          <w:color w:val="000000" w:themeColor="text1"/>
        </w:rPr>
        <w:t>NM</w:t>
      </w:r>
      <w:r w:rsidR="00AF4E66" w:rsidRPr="00BF77D4">
        <w:rPr>
          <w:rFonts w:ascii="Arial" w:hAnsi="Arial" w:cs="Arial"/>
          <w:color w:val="000000" w:themeColor="text1"/>
        </w:rPr>
        <w:t>SBDC</w:t>
      </w:r>
      <w:r w:rsidR="00025CDF" w:rsidRPr="00BF77D4">
        <w:rPr>
          <w:rFonts w:ascii="Arial" w:hAnsi="Arial" w:cs="Arial"/>
          <w:color w:val="000000" w:themeColor="text1"/>
        </w:rPr>
        <w:t xml:space="preserve"> Service Center’s</w:t>
      </w:r>
      <w:r w:rsidR="00AF4E66" w:rsidRPr="00BF77D4">
        <w:rPr>
          <w:rFonts w:ascii="Arial" w:hAnsi="Arial" w:cs="Arial"/>
          <w:color w:val="000000" w:themeColor="text1"/>
        </w:rPr>
        <w:t xml:space="preserve"> </w:t>
      </w:r>
      <w:r w:rsidR="00025CDF" w:rsidRPr="00BF77D4">
        <w:rPr>
          <w:rFonts w:ascii="Arial" w:hAnsi="Arial" w:cs="Arial"/>
          <w:color w:val="000000" w:themeColor="text1"/>
        </w:rPr>
        <w:t>Assigned Service A</w:t>
      </w:r>
      <w:r w:rsidR="00AF4E66" w:rsidRPr="00BF77D4">
        <w:rPr>
          <w:rFonts w:ascii="Arial" w:hAnsi="Arial" w:cs="Arial"/>
          <w:color w:val="000000" w:themeColor="text1"/>
        </w:rPr>
        <w:t xml:space="preserve">rea; close business or declare bankruptcy. In situations where the </w:t>
      </w:r>
      <w:r w:rsidR="00AF4E66" w:rsidRPr="00BF77D4">
        <w:rPr>
          <w:rFonts w:ascii="Arial" w:hAnsi="Arial" w:cs="Arial"/>
          <w:noProof/>
          <w:color w:val="000000" w:themeColor="text1"/>
        </w:rPr>
        <w:t>business</w:t>
      </w:r>
      <w:r w:rsidR="00AF4E66" w:rsidRPr="00BF77D4">
        <w:rPr>
          <w:rFonts w:ascii="Arial" w:hAnsi="Arial" w:cs="Arial"/>
          <w:color w:val="000000" w:themeColor="text1"/>
        </w:rPr>
        <w:t xml:space="preserve"> is closing, but the </w:t>
      </w:r>
      <w:r w:rsidR="00025CDF" w:rsidRPr="00BF77D4">
        <w:rPr>
          <w:rFonts w:ascii="Arial" w:hAnsi="Arial" w:cs="Arial"/>
          <w:color w:val="000000" w:themeColor="text1"/>
        </w:rPr>
        <w:t>NM</w:t>
      </w:r>
      <w:r w:rsidR="00AF4E66" w:rsidRPr="00BF77D4">
        <w:rPr>
          <w:rFonts w:ascii="Arial" w:hAnsi="Arial" w:cs="Arial"/>
          <w:color w:val="000000" w:themeColor="text1"/>
        </w:rPr>
        <w:t xml:space="preserve">SBDC assists in selling the company then the jobs that continue to exist may be counted as saved.  The </w:t>
      </w:r>
      <w:r w:rsidR="00AF4E66" w:rsidRPr="00BF77D4">
        <w:rPr>
          <w:rFonts w:ascii="Arial" w:hAnsi="Arial" w:cs="Arial"/>
          <w:noProof/>
          <w:color w:val="000000" w:themeColor="text1"/>
        </w:rPr>
        <w:t>business</w:t>
      </w:r>
      <w:r w:rsidR="00AF4E66" w:rsidRPr="00BF77D4">
        <w:rPr>
          <w:rFonts w:ascii="Arial" w:hAnsi="Arial" w:cs="Arial"/>
          <w:color w:val="000000" w:themeColor="text1"/>
        </w:rPr>
        <w:t xml:space="preserve"> must meet the definition of an SBDC client</w:t>
      </w:r>
      <w:r w:rsidR="00CA2B9A" w:rsidRPr="00BF77D4">
        <w:rPr>
          <w:rFonts w:ascii="Arial" w:hAnsi="Arial" w:cs="Arial"/>
          <w:color w:val="000000" w:themeColor="text1"/>
        </w:rPr>
        <w:t>,</w:t>
      </w:r>
      <w:r w:rsidR="00AF4E66" w:rsidRPr="00BF77D4">
        <w:rPr>
          <w:rFonts w:ascii="Arial" w:hAnsi="Arial" w:cs="Arial"/>
          <w:color w:val="000000" w:themeColor="text1"/>
        </w:rPr>
        <w:t xml:space="preserve"> complete </w:t>
      </w:r>
      <w:r w:rsidR="002A5E4E" w:rsidRPr="00BF77D4">
        <w:rPr>
          <w:rFonts w:ascii="Arial" w:hAnsi="Arial" w:cs="Arial"/>
          <w:color w:val="000000" w:themeColor="text1"/>
        </w:rPr>
        <w:t>a</w:t>
      </w:r>
      <w:r w:rsidR="00AF4E66" w:rsidRPr="00BF77D4">
        <w:rPr>
          <w:rFonts w:ascii="Arial" w:hAnsi="Arial" w:cs="Arial"/>
          <w:color w:val="000000" w:themeColor="text1"/>
        </w:rPr>
        <w:t xml:space="preserve"> </w:t>
      </w:r>
      <w:r w:rsidR="00827E2F" w:rsidRPr="00BF77D4">
        <w:rPr>
          <w:rFonts w:ascii="Arial" w:hAnsi="Arial" w:cs="Arial"/>
          <w:color w:val="000000" w:themeColor="text1"/>
        </w:rPr>
        <w:t>Client Economic Impact Report</w:t>
      </w:r>
      <w:r w:rsidR="00AF4E66" w:rsidRPr="00BF77D4">
        <w:rPr>
          <w:rFonts w:ascii="Arial" w:hAnsi="Arial" w:cs="Arial"/>
          <w:color w:val="000000" w:themeColor="text1"/>
        </w:rPr>
        <w:t xml:space="preserve"> signifying that SBDC assistance has resulted in job</w:t>
      </w:r>
      <w:r w:rsidR="009A66CE" w:rsidRPr="00BF77D4">
        <w:rPr>
          <w:rFonts w:ascii="Arial" w:hAnsi="Arial" w:cs="Arial"/>
          <w:color w:val="000000" w:themeColor="text1"/>
        </w:rPr>
        <w:t xml:space="preserve">(s) </w:t>
      </w:r>
      <w:r w:rsidR="00AF4E66" w:rsidRPr="00BF77D4">
        <w:rPr>
          <w:rFonts w:ascii="Arial" w:hAnsi="Arial" w:cs="Arial"/>
          <w:color w:val="000000" w:themeColor="text1"/>
        </w:rPr>
        <w:t>saved</w:t>
      </w:r>
      <w:r w:rsidR="00CA2B9A" w:rsidRPr="00BF77D4">
        <w:rPr>
          <w:rFonts w:ascii="Arial" w:hAnsi="Arial" w:cs="Arial"/>
          <w:color w:val="000000" w:themeColor="text1"/>
        </w:rPr>
        <w:t xml:space="preserve"> and a Jobs Saved milestone must be entered in Neoserra. </w:t>
      </w:r>
      <w:r w:rsidR="00AF4E66" w:rsidRPr="00BF77D4">
        <w:rPr>
          <w:rFonts w:ascii="Arial" w:hAnsi="Arial" w:cs="Arial"/>
          <w:color w:val="000000" w:themeColor="text1"/>
        </w:rPr>
        <w:t xml:space="preserve"> </w:t>
      </w:r>
      <w:r w:rsidR="00B9791A">
        <w:rPr>
          <w:rFonts w:ascii="Arial" w:hAnsi="Arial" w:cs="Arial"/>
          <w:color w:val="000000" w:themeColor="text1"/>
        </w:rPr>
        <w:t xml:space="preserve">A job may only be counted as saved once within each State Fiscal Year. </w:t>
      </w:r>
    </w:p>
    <w:p w14:paraId="30EB7C05" w14:textId="77777777" w:rsidR="006B70B1" w:rsidRPr="00BF77D4" w:rsidRDefault="006B70B1" w:rsidP="002E5B25">
      <w:pPr>
        <w:pStyle w:val="ListParagraph"/>
        <w:spacing w:after="0" w:line="240" w:lineRule="auto"/>
        <w:ind w:left="0"/>
        <w:rPr>
          <w:rFonts w:ascii="Arial" w:hAnsi="Arial" w:cs="Arial"/>
          <w:color w:val="000000" w:themeColor="text1"/>
        </w:rPr>
      </w:pPr>
    </w:p>
    <w:p w14:paraId="273B0E2E" w14:textId="7C86715A" w:rsidR="00317146" w:rsidRPr="00BF77D4" w:rsidRDefault="00F52E53" w:rsidP="00F52E53">
      <w:pPr>
        <w:pStyle w:val="ListParagraph"/>
        <w:spacing w:after="0" w:line="240" w:lineRule="auto"/>
        <w:ind w:left="0"/>
        <w:rPr>
          <w:rFonts w:ascii="Arial" w:hAnsi="Arial" w:cs="Arial"/>
          <w:color w:val="000000" w:themeColor="text1"/>
        </w:rPr>
      </w:pPr>
      <w:r w:rsidRPr="00BF77D4">
        <w:rPr>
          <w:rFonts w:ascii="Arial" w:hAnsi="Arial" w:cs="Arial"/>
          <w:b/>
          <w:color w:val="000000" w:themeColor="text1"/>
          <w:u w:val="single"/>
        </w:rPr>
        <w:t>Number of n</w:t>
      </w:r>
      <w:r w:rsidR="001221A9" w:rsidRPr="00BF77D4">
        <w:rPr>
          <w:rFonts w:ascii="Arial" w:hAnsi="Arial" w:cs="Arial"/>
          <w:b/>
          <w:color w:val="000000" w:themeColor="text1"/>
          <w:u w:val="single"/>
        </w:rPr>
        <w:t xml:space="preserve">ew </w:t>
      </w:r>
      <w:r w:rsidRPr="00BF77D4">
        <w:rPr>
          <w:rFonts w:ascii="Arial" w:hAnsi="Arial" w:cs="Arial"/>
          <w:b/>
          <w:color w:val="000000" w:themeColor="text1"/>
          <w:u w:val="single"/>
        </w:rPr>
        <w:t>business s</w:t>
      </w:r>
      <w:r w:rsidR="00C42DC0" w:rsidRPr="00BF77D4">
        <w:rPr>
          <w:rFonts w:ascii="Arial" w:hAnsi="Arial" w:cs="Arial"/>
          <w:b/>
          <w:color w:val="000000" w:themeColor="text1"/>
          <w:u w:val="single"/>
        </w:rPr>
        <w:t>tart</w:t>
      </w:r>
      <w:r w:rsidR="002F552A" w:rsidRPr="00BF77D4">
        <w:rPr>
          <w:rFonts w:ascii="Arial" w:hAnsi="Arial" w:cs="Arial"/>
          <w:b/>
          <w:color w:val="000000" w:themeColor="text1"/>
          <w:u w:val="single"/>
        </w:rPr>
        <w:t>s:</w:t>
      </w:r>
      <w:r w:rsidR="002F552A" w:rsidRPr="00BF77D4">
        <w:rPr>
          <w:rFonts w:ascii="Arial" w:hAnsi="Arial" w:cs="Arial"/>
          <w:color w:val="000000" w:themeColor="text1"/>
        </w:rPr>
        <w:t xml:space="preserve"> </w:t>
      </w:r>
      <w:r w:rsidR="00CC551F" w:rsidRPr="00BF77D4">
        <w:rPr>
          <w:rFonts w:ascii="Arial" w:hAnsi="Arial" w:cs="Arial"/>
          <w:color w:val="000000" w:themeColor="text1"/>
        </w:rPr>
        <w:t>(</w:t>
      </w:r>
      <w:r w:rsidR="00CC551F" w:rsidRPr="00BF77D4">
        <w:rPr>
          <w:rFonts w:ascii="Arial" w:hAnsi="Arial" w:cs="Arial"/>
          <w:color w:val="000000" w:themeColor="text1"/>
          <w:sz w:val="23"/>
          <w:szCs w:val="23"/>
        </w:rPr>
        <w:t>U.S. Small Business Administration</w:t>
      </w:r>
      <w:r w:rsidR="002F552A" w:rsidRPr="00BF77D4">
        <w:rPr>
          <w:rFonts w:ascii="Arial" w:hAnsi="Arial" w:cs="Arial"/>
          <w:color w:val="000000" w:themeColor="text1"/>
        </w:rPr>
        <w:t xml:space="preserve"> </w:t>
      </w:r>
      <w:r w:rsidR="00D12E9B" w:rsidRPr="00BF77D4">
        <w:rPr>
          <w:rFonts w:ascii="Arial" w:hAnsi="Arial" w:cs="Arial"/>
          <w:noProof/>
          <w:color w:val="000000" w:themeColor="text1"/>
        </w:rPr>
        <w:t>(SBA</w:t>
      </w:r>
      <w:r w:rsidR="00CC551F" w:rsidRPr="00BF77D4">
        <w:rPr>
          <w:rFonts w:ascii="Arial" w:hAnsi="Arial" w:cs="Arial"/>
          <w:noProof/>
          <w:color w:val="000000" w:themeColor="text1"/>
        </w:rPr>
        <w:t>)</w:t>
      </w:r>
      <w:r w:rsidR="00D12E9B" w:rsidRPr="00BF77D4">
        <w:rPr>
          <w:rFonts w:ascii="Arial" w:hAnsi="Arial" w:cs="Arial"/>
          <w:noProof/>
          <w:color w:val="000000" w:themeColor="text1"/>
        </w:rPr>
        <w:t xml:space="preserve"> Measure)</w:t>
      </w:r>
      <w:r w:rsidR="00CF0681" w:rsidRPr="00BF77D4">
        <w:rPr>
          <w:rFonts w:ascii="Arial" w:hAnsi="Arial" w:cs="Arial"/>
          <w:b/>
          <w:color w:val="000000" w:themeColor="text1"/>
        </w:rPr>
        <w:t xml:space="preserve"> </w:t>
      </w:r>
      <w:r w:rsidR="001A18AB" w:rsidRPr="00BF77D4">
        <w:rPr>
          <w:rFonts w:ascii="Arial" w:hAnsi="Arial" w:cs="Arial"/>
          <w:color w:val="000000" w:themeColor="text1"/>
        </w:rPr>
        <w:t xml:space="preserve">Clients that </w:t>
      </w:r>
      <w:r w:rsidR="00D64708" w:rsidRPr="00BF77D4">
        <w:rPr>
          <w:rFonts w:ascii="Arial" w:hAnsi="Arial" w:cs="Arial"/>
          <w:color w:val="000000" w:themeColor="text1"/>
        </w:rPr>
        <w:t>were able to start (</w:t>
      </w:r>
      <w:r w:rsidR="001A18AB" w:rsidRPr="00BF77D4">
        <w:rPr>
          <w:rFonts w:ascii="Arial" w:hAnsi="Arial" w:cs="Arial"/>
          <w:color w:val="000000" w:themeColor="text1"/>
        </w:rPr>
        <w:t>indicated they are in business</w:t>
      </w:r>
      <w:r w:rsidR="00D64708" w:rsidRPr="00BF77D4">
        <w:rPr>
          <w:rFonts w:ascii="Arial" w:hAnsi="Arial" w:cs="Arial"/>
          <w:color w:val="000000" w:themeColor="text1"/>
        </w:rPr>
        <w:t>)</w:t>
      </w:r>
      <w:r w:rsidR="001A18AB" w:rsidRPr="00BF77D4">
        <w:rPr>
          <w:rFonts w:ascii="Arial" w:hAnsi="Arial" w:cs="Arial"/>
          <w:color w:val="000000" w:themeColor="text1"/>
        </w:rPr>
        <w:t xml:space="preserve"> as</w:t>
      </w:r>
      <w:r w:rsidR="00827E2F" w:rsidRPr="00BF77D4">
        <w:rPr>
          <w:rFonts w:ascii="Arial" w:hAnsi="Arial" w:cs="Arial"/>
          <w:color w:val="000000" w:themeColor="text1"/>
        </w:rPr>
        <w:t xml:space="preserve"> a result of services received from the SBDC Program.</w:t>
      </w:r>
    </w:p>
    <w:p w14:paraId="1F9BCC63" w14:textId="77777777" w:rsidR="00317146" w:rsidRPr="00BF77D4" w:rsidRDefault="00317146" w:rsidP="00F52E53">
      <w:pPr>
        <w:pStyle w:val="ListParagraph"/>
        <w:spacing w:after="0" w:line="240" w:lineRule="auto"/>
        <w:ind w:left="0"/>
        <w:rPr>
          <w:rFonts w:ascii="Arial" w:hAnsi="Arial" w:cs="Arial"/>
          <w:b/>
          <w:color w:val="000000" w:themeColor="text1"/>
        </w:rPr>
      </w:pPr>
    </w:p>
    <w:p w14:paraId="36FCA4FE" w14:textId="0A524E2D" w:rsidR="00317146" w:rsidRPr="00BF77D4" w:rsidRDefault="00317146" w:rsidP="00317146">
      <w:pPr>
        <w:pStyle w:val="Heading2"/>
        <w:keepNext w:val="0"/>
        <w:keepLines w:val="0"/>
        <w:numPr>
          <w:ilvl w:val="0"/>
          <w:numId w:val="0"/>
        </w:numPr>
        <w:spacing w:after="120" w:line="240" w:lineRule="auto"/>
        <w:rPr>
          <w:rFonts w:ascii="Arial" w:hAnsi="Arial" w:cs="Arial"/>
          <w:b w:val="0"/>
          <w:color w:val="000000" w:themeColor="text1"/>
        </w:rPr>
      </w:pPr>
      <w:r w:rsidRPr="00BF77D4">
        <w:rPr>
          <w:rFonts w:ascii="Arial" w:hAnsi="Arial" w:cs="Arial"/>
          <w:b w:val="0"/>
          <w:color w:val="000000" w:themeColor="text1"/>
        </w:rPr>
        <w:t>Computed by EDMIS</w:t>
      </w:r>
      <w:r w:rsidR="002C35EE" w:rsidRPr="00BF77D4">
        <w:rPr>
          <w:rFonts w:ascii="Arial" w:hAnsi="Arial" w:cs="Arial"/>
          <w:b w:val="0"/>
          <w:color w:val="000000" w:themeColor="text1"/>
        </w:rPr>
        <w:t>-NG</w:t>
      </w:r>
      <w:r w:rsidRPr="00BF77D4">
        <w:rPr>
          <w:rFonts w:ascii="Arial" w:hAnsi="Arial" w:cs="Arial"/>
          <w:b w:val="0"/>
          <w:color w:val="000000" w:themeColor="text1"/>
        </w:rPr>
        <w:t xml:space="preserve">, businesses are considered “Started” if, at the previous counseling or training session (whether in the current </w:t>
      </w:r>
      <w:r w:rsidR="00827E2F" w:rsidRPr="00BF77D4">
        <w:rPr>
          <w:rFonts w:ascii="Arial" w:hAnsi="Arial" w:cs="Arial"/>
          <w:b w:val="0"/>
          <w:color w:val="000000" w:themeColor="text1"/>
        </w:rPr>
        <w:t xml:space="preserve">federal </w:t>
      </w:r>
      <w:r w:rsidRPr="00BF77D4">
        <w:rPr>
          <w:rFonts w:ascii="Arial" w:hAnsi="Arial" w:cs="Arial"/>
          <w:b w:val="0"/>
          <w:color w:val="000000" w:themeColor="text1"/>
        </w:rPr>
        <w:t xml:space="preserve">fiscal year or a past one), the client was not “in business,” and at a subsequent session or update (in the </w:t>
      </w:r>
      <w:r w:rsidR="00827E2F" w:rsidRPr="00BF77D4">
        <w:rPr>
          <w:rFonts w:ascii="Arial" w:hAnsi="Arial" w:cs="Arial"/>
          <w:b w:val="0"/>
          <w:color w:val="000000" w:themeColor="text1"/>
        </w:rPr>
        <w:t>federal f</w:t>
      </w:r>
      <w:r w:rsidRPr="00BF77D4">
        <w:rPr>
          <w:rFonts w:ascii="Arial" w:hAnsi="Arial" w:cs="Arial"/>
          <w:b w:val="0"/>
          <w:color w:val="000000" w:themeColor="text1"/>
        </w:rPr>
        <w:t>iscal year being reported) was “in business”.</w:t>
      </w:r>
      <w:r w:rsidR="00577614" w:rsidRPr="00BF77D4">
        <w:rPr>
          <w:rFonts w:ascii="Arial" w:hAnsi="Arial" w:cs="Arial"/>
          <w:b w:val="0"/>
          <w:color w:val="000000" w:themeColor="text1"/>
        </w:rPr>
        <w:t xml:space="preserve"> </w:t>
      </w:r>
      <w:r w:rsidR="00D64708" w:rsidRPr="00BF77D4">
        <w:rPr>
          <w:rFonts w:ascii="Arial" w:hAnsi="Arial" w:cs="Arial"/>
          <w:b w:val="0"/>
          <w:color w:val="000000" w:themeColor="text1"/>
        </w:rPr>
        <w:t>(SBA Form 641)</w:t>
      </w:r>
    </w:p>
    <w:p w14:paraId="47FFA9F2" w14:textId="52266A91" w:rsidR="002C35EE" w:rsidRDefault="00317146" w:rsidP="00F52E53">
      <w:pPr>
        <w:pStyle w:val="ListParagraph"/>
        <w:spacing w:after="0" w:line="240" w:lineRule="auto"/>
        <w:ind w:left="0"/>
        <w:rPr>
          <w:rFonts w:ascii="Arial" w:hAnsi="Arial" w:cs="Arial"/>
          <w:color w:val="000000" w:themeColor="text1"/>
        </w:rPr>
      </w:pPr>
      <w:r w:rsidRPr="00BF77D4">
        <w:rPr>
          <w:rFonts w:ascii="Arial" w:hAnsi="Arial" w:cs="Arial"/>
          <w:color w:val="000000" w:themeColor="text1"/>
        </w:rPr>
        <w:t>A new business start is counted for any counseling or training session wit</w:t>
      </w:r>
      <w:r w:rsidR="00827E2F" w:rsidRPr="00BF77D4">
        <w:rPr>
          <w:rFonts w:ascii="Arial" w:hAnsi="Arial" w:cs="Arial"/>
          <w:color w:val="000000" w:themeColor="text1"/>
        </w:rPr>
        <w:t>hin the specified time frame, fiscal year</w:t>
      </w:r>
      <w:r w:rsidRPr="00BF77D4">
        <w:rPr>
          <w:rFonts w:ascii="Arial" w:hAnsi="Arial" w:cs="Arial"/>
          <w:color w:val="000000" w:themeColor="text1"/>
        </w:rPr>
        <w:t xml:space="preserve"> o</w:t>
      </w:r>
      <w:r w:rsidR="00827E2F" w:rsidRPr="00BF77D4">
        <w:rPr>
          <w:rFonts w:ascii="Arial" w:hAnsi="Arial" w:cs="Arial"/>
          <w:color w:val="000000" w:themeColor="text1"/>
        </w:rPr>
        <w:t>r q</w:t>
      </w:r>
      <w:r w:rsidRPr="00BF77D4">
        <w:rPr>
          <w:rFonts w:ascii="Arial" w:hAnsi="Arial" w:cs="Arial"/>
          <w:color w:val="000000" w:themeColor="text1"/>
        </w:rPr>
        <w:t xml:space="preserve">uarter, that indicates the client is in business </w:t>
      </w:r>
      <w:r w:rsidR="00577614" w:rsidRPr="00BF77D4">
        <w:rPr>
          <w:rFonts w:ascii="Arial" w:hAnsi="Arial" w:cs="Arial"/>
          <w:color w:val="000000" w:themeColor="text1"/>
        </w:rPr>
        <w:t xml:space="preserve">(the </w:t>
      </w:r>
      <w:r w:rsidR="00577614" w:rsidRPr="00BF77D4">
        <w:rPr>
          <w:rFonts w:ascii="Arial" w:hAnsi="Arial" w:cs="Arial"/>
          <w:b/>
          <w:i/>
          <w:color w:val="000000" w:themeColor="text1"/>
        </w:rPr>
        <w:t>In Business</w:t>
      </w:r>
      <w:r w:rsidR="00577614" w:rsidRPr="00BF77D4">
        <w:rPr>
          <w:rFonts w:ascii="Arial" w:hAnsi="Arial" w:cs="Arial"/>
          <w:color w:val="000000" w:themeColor="text1"/>
        </w:rPr>
        <w:t xml:space="preserve"> flag is marked yes) </w:t>
      </w:r>
      <w:r w:rsidRPr="00BF77D4">
        <w:rPr>
          <w:rFonts w:ascii="Arial" w:hAnsi="Arial" w:cs="Arial"/>
          <w:color w:val="000000" w:themeColor="text1"/>
        </w:rPr>
        <w:t>and where all prior sessions, including sessions outside the time frame, indicates the client was not in business</w:t>
      </w:r>
      <w:r w:rsidR="00577614" w:rsidRPr="00BF77D4">
        <w:rPr>
          <w:rFonts w:ascii="Arial" w:hAnsi="Arial" w:cs="Arial"/>
          <w:color w:val="000000" w:themeColor="text1"/>
        </w:rPr>
        <w:t xml:space="preserve"> (the </w:t>
      </w:r>
      <w:r w:rsidR="00577614" w:rsidRPr="00BF77D4">
        <w:rPr>
          <w:rFonts w:ascii="Arial" w:hAnsi="Arial" w:cs="Arial"/>
          <w:b/>
          <w:i/>
          <w:color w:val="000000" w:themeColor="text1"/>
        </w:rPr>
        <w:t>In Business</w:t>
      </w:r>
      <w:r w:rsidR="00577614" w:rsidRPr="00BF77D4">
        <w:rPr>
          <w:rFonts w:ascii="Arial" w:hAnsi="Arial" w:cs="Arial"/>
          <w:color w:val="000000" w:themeColor="text1"/>
        </w:rPr>
        <w:t xml:space="preserve"> flag is marked no)</w:t>
      </w:r>
      <w:r w:rsidRPr="00BF77D4">
        <w:rPr>
          <w:rFonts w:ascii="Arial" w:hAnsi="Arial" w:cs="Arial"/>
          <w:color w:val="000000" w:themeColor="text1"/>
        </w:rPr>
        <w:t>.</w:t>
      </w:r>
    </w:p>
    <w:p w14:paraId="04582183" w14:textId="01F7E540" w:rsidR="002C35EE" w:rsidRPr="00BF77D4" w:rsidRDefault="002C35EE" w:rsidP="00F52E53">
      <w:pPr>
        <w:pStyle w:val="ListParagraph"/>
        <w:spacing w:after="0" w:line="240" w:lineRule="auto"/>
        <w:ind w:left="0"/>
        <w:rPr>
          <w:rFonts w:ascii="Arial" w:hAnsi="Arial" w:cs="Arial"/>
          <w:color w:val="000000" w:themeColor="text1"/>
        </w:rPr>
      </w:pPr>
    </w:p>
    <w:p w14:paraId="16FF6441" w14:textId="7BAA7CCF" w:rsidR="00FD3FEA" w:rsidRPr="00BF77D4" w:rsidRDefault="00577614" w:rsidP="00F52E53">
      <w:pPr>
        <w:pStyle w:val="ListParagraph"/>
        <w:spacing w:after="0" w:line="240" w:lineRule="auto"/>
        <w:ind w:left="0"/>
        <w:rPr>
          <w:rFonts w:ascii="Arial" w:hAnsi="Arial" w:cs="Arial"/>
          <w:b/>
          <w:color w:val="000000" w:themeColor="text1"/>
          <w:u w:val="single"/>
        </w:rPr>
      </w:pPr>
      <w:r w:rsidRPr="00BF77D4">
        <w:rPr>
          <w:rFonts w:ascii="Arial" w:hAnsi="Arial" w:cs="Arial"/>
          <w:color w:val="000000" w:themeColor="text1"/>
        </w:rPr>
        <w:t xml:space="preserve">In-Business: </w:t>
      </w:r>
      <w:r w:rsidR="00C42DC0" w:rsidRPr="00BF77D4">
        <w:rPr>
          <w:rFonts w:ascii="Arial" w:hAnsi="Arial" w:cs="Arial"/>
          <w:color w:val="000000" w:themeColor="text1"/>
        </w:rPr>
        <w:t>A</w:t>
      </w:r>
      <w:r w:rsidRPr="00BF77D4">
        <w:rPr>
          <w:rFonts w:ascii="Arial" w:hAnsi="Arial" w:cs="Arial"/>
          <w:color w:val="000000" w:themeColor="text1"/>
        </w:rPr>
        <w:t>n “in business client” is defined as one t</w:t>
      </w:r>
      <w:r w:rsidR="00853F0D" w:rsidRPr="00BF77D4">
        <w:rPr>
          <w:rFonts w:ascii="Arial" w:hAnsi="Arial" w:cs="Arial"/>
          <w:color w:val="000000" w:themeColor="text1"/>
        </w:rPr>
        <w:t>hat</w:t>
      </w:r>
      <w:r w:rsidR="001A18AB" w:rsidRPr="00BF77D4">
        <w:rPr>
          <w:rFonts w:ascii="Arial" w:hAnsi="Arial" w:cs="Arial"/>
          <w:color w:val="000000" w:themeColor="text1"/>
        </w:rPr>
        <w:t xml:space="preserve"> has</w:t>
      </w:r>
      <w:r w:rsidR="00FD3FEA" w:rsidRPr="00BF77D4">
        <w:rPr>
          <w:rFonts w:ascii="Arial" w:hAnsi="Arial" w:cs="Arial"/>
          <w:color w:val="000000" w:themeColor="text1"/>
        </w:rPr>
        <w:t xml:space="preserve"> completed required registration(s), if applicable, with the local, state, </w:t>
      </w:r>
      <w:r w:rsidR="00FD3FEA" w:rsidRPr="00BF77D4">
        <w:rPr>
          <w:rFonts w:ascii="Arial" w:hAnsi="Arial" w:cs="Arial"/>
          <w:noProof/>
          <w:color w:val="000000" w:themeColor="text1"/>
        </w:rPr>
        <w:t>and/or</w:t>
      </w:r>
      <w:r w:rsidR="00FD3FEA" w:rsidRPr="00BF77D4">
        <w:rPr>
          <w:rFonts w:ascii="Arial" w:hAnsi="Arial" w:cs="Arial"/>
          <w:color w:val="000000" w:themeColor="text1"/>
        </w:rPr>
        <w:t xml:space="preserve"> Federal Government (e.g., DBA registration, get a business license, </w:t>
      </w:r>
      <w:r w:rsidR="00FD3FEA" w:rsidRPr="00BF77D4">
        <w:rPr>
          <w:rFonts w:ascii="Arial" w:hAnsi="Arial" w:cs="Arial"/>
          <w:noProof/>
          <w:color w:val="000000" w:themeColor="text1"/>
        </w:rPr>
        <w:t>agency</w:t>
      </w:r>
      <w:r w:rsidR="00FD3FEA" w:rsidRPr="00BF77D4">
        <w:rPr>
          <w:rFonts w:ascii="Arial" w:hAnsi="Arial" w:cs="Arial"/>
          <w:color w:val="000000" w:themeColor="text1"/>
        </w:rPr>
        <w:t xml:space="preserve"> issued tax identifications, etc.) </w:t>
      </w:r>
      <w:r w:rsidRPr="00BF77D4">
        <w:rPr>
          <w:rFonts w:ascii="Arial" w:hAnsi="Arial" w:cs="Arial"/>
          <w:color w:val="000000" w:themeColor="text1"/>
        </w:rPr>
        <w:t>AND</w:t>
      </w:r>
      <w:r w:rsidR="00FD3FEA" w:rsidRPr="00BF77D4">
        <w:rPr>
          <w:rFonts w:ascii="Arial" w:hAnsi="Arial" w:cs="Arial"/>
          <w:color w:val="000000" w:themeColor="text1"/>
        </w:rPr>
        <w:t xml:space="preserve"> at least one of the following:</w:t>
      </w:r>
    </w:p>
    <w:p w14:paraId="5EB5DD97" w14:textId="64E03199" w:rsidR="00FD3FEA" w:rsidRPr="00BF77D4" w:rsidRDefault="00FD3FEA" w:rsidP="00F52E53">
      <w:pPr>
        <w:pStyle w:val="ListParagraph"/>
        <w:numPr>
          <w:ilvl w:val="0"/>
          <w:numId w:val="1"/>
        </w:numPr>
        <w:spacing w:after="0" w:line="240" w:lineRule="auto"/>
        <w:ind w:left="720"/>
        <w:rPr>
          <w:rFonts w:ascii="Arial" w:hAnsi="Arial" w:cs="Arial"/>
          <w:color w:val="000000" w:themeColor="text1"/>
        </w:rPr>
      </w:pPr>
      <w:r w:rsidRPr="00BF77D4">
        <w:rPr>
          <w:rFonts w:ascii="Arial" w:hAnsi="Arial" w:cs="Arial"/>
          <w:color w:val="000000" w:themeColor="text1"/>
        </w:rPr>
        <w:t xml:space="preserve">Has documented a transaction from the sale of a product or professional or personal service </w:t>
      </w:r>
      <w:r w:rsidRPr="00BF77D4">
        <w:rPr>
          <w:rFonts w:ascii="Arial" w:hAnsi="Arial" w:cs="Arial"/>
          <w:noProof/>
          <w:color w:val="000000" w:themeColor="text1"/>
        </w:rPr>
        <w:t>for the purpose of</w:t>
      </w:r>
      <w:r w:rsidRPr="00BF77D4">
        <w:rPr>
          <w:rFonts w:ascii="Arial" w:hAnsi="Arial" w:cs="Arial"/>
          <w:color w:val="000000" w:themeColor="text1"/>
        </w:rPr>
        <w:t xml:space="preserve"> gain or profit;</w:t>
      </w:r>
      <w:r w:rsidR="00853F0D" w:rsidRPr="00BF77D4">
        <w:rPr>
          <w:rFonts w:ascii="Arial" w:hAnsi="Arial" w:cs="Arial"/>
          <w:color w:val="000000" w:themeColor="text1"/>
        </w:rPr>
        <w:t xml:space="preserve"> or</w:t>
      </w:r>
    </w:p>
    <w:p w14:paraId="0202CABE" w14:textId="12572514" w:rsidR="00FD3FEA" w:rsidRPr="00BF77D4" w:rsidRDefault="00FD3FEA" w:rsidP="00F52E53">
      <w:pPr>
        <w:pStyle w:val="ListParagraph"/>
        <w:numPr>
          <w:ilvl w:val="0"/>
          <w:numId w:val="1"/>
        </w:numPr>
        <w:spacing w:after="0" w:line="240" w:lineRule="auto"/>
        <w:ind w:left="720"/>
        <w:rPr>
          <w:rFonts w:ascii="Arial" w:hAnsi="Arial" w:cs="Arial"/>
          <w:color w:val="000000" w:themeColor="text1"/>
        </w:rPr>
      </w:pPr>
      <w:r w:rsidRPr="00BF77D4">
        <w:rPr>
          <w:rFonts w:ascii="Arial" w:hAnsi="Arial" w:cs="Arial"/>
          <w:color w:val="000000" w:themeColor="text1"/>
        </w:rPr>
        <w:t>Has contracted for or compensated an employee(s) or independent contractor(s) to perform essential business functions;</w:t>
      </w:r>
      <w:r w:rsidR="00853F0D" w:rsidRPr="00BF77D4">
        <w:rPr>
          <w:rFonts w:ascii="Arial" w:hAnsi="Arial" w:cs="Arial"/>
          <w:color w:val="000000" w:themeColor="text1"/>
        </w:rPr>
        <w:t xml:space="preserve"> or</w:t>
      </w:r>
    </w:p>
    <w:p w14:paraId="4028892E" w14:textId="40E4F33F" w:rsidR="00FD3FEA" w:rsidRPr="00BF77D4" w:rsidRDefault="00FD3FEA" w:rsidP="00F52E53">
      <w:pPr>
        <w:pStyle w:val="ListParagraph"/>
        <w:numPr>
          <w:ilvl w:val="0"/>
          <w:numId w:val="1"/>
        </w:numPr>
        <w:spacing w:after="0" w:line="240" w:lineRule="auto"/>
        <w:ind w:left="720"/>
        <w:rPr>
          <w:rFonts w:ascii="Arial" w:hAnsi="Arial" w:cs="Arial"/>
          <w:color w:val="000000" w:themeColor="text1"/>
        </w:rPr>
      </w:pPr>
      <w:r w:rsidRPr="00BF77D4">
        <w:rPr>
          <w:rFonts w:ascii="Arial" w:hAnsi="Arial" w:cs="Arial"/>
          <w:color w:val="000000" w:themeColor="text1"/>
        </w:rPr>
        <w:t>Has acquired debt or equity capital to pursue business operations (e.g., to purchase inventory, equipment, building, business, etc.); or</w:t>
      </w:r>
    </w:p>
    <w:p w14:paraId="6E237F5B" w14:textId="49EDAD55" w:rsidR="00643161" w:rsidRPr="00BF77D4" w:rsidRDefault="004716C5" w:rsidP="00F52E53">
      <w:pPr>
        <w:pStyle w:val="ListParagraph"/>
        <w:numPr>
          <w:ilvl w:val="0"/>
          <w:numId w:val="1"/>
        </w:numPr>
        <w:spacing w:after="0" w:line="240" w:lineRule="auto"/>
        <w:ind w:left="720"/>
        <w:rPr>
          <w:rFonts w:ascii="Arial" w:hAnsi="Arial" w:cs="Arial"/>
          <w:color w:val="000000" w:themeColor="text1"/>
        </w:rPr>
      </w:pPr>
      <w:r w:rsidRPr="00BF77D4">
        <w:rPr>
          <w:rFonts w:ascii="Arial" w:hAnsi="Arial" w:cs="Arial"/>
          <w:noProof/>
          <w:color w:val="000000" w:themeColor="text1"/>
        </w:rPr>
        <w:t>Has incurred business expenses in the operation of a business.</w:t>
      </w:r>
    </w:p>
    <w:p w14:paraId="0A0A8F57" w14:textId="77777777" w:rsidR="006D01E6" w:rsidRPr="00BF77D4" w:rsidRDefault="006D01E6" w:rsidP="00F52E53">
      <w:pPr>
        <w:pStyle w:val="ListParagraph"/>
        <w:spacing w:after="0" w:line="240" w:lineRule="auto"/>
        <w:ind w:left="0"/>
        <w:rPr>
          <w:rFonts w:ascii="Arial" w:hAnsi="Arial" w:cs="Arial"/>
          <w:noProof/>
          <w:color w:val="000000" w:themeColor="text1"/>
        </w:rPr>
      </w:pPr>
    </w:p>
    <w:p w14:paraId="53143E13" w14:textId="41DFB9AF" w:rsidR="008F1FFC" w:rsidRDefault="00B606C4" w:rsidP="00F52E53">
      <w:pPr>
        <w:pStyle w:val="ListParagraph"/>
        <w:spacing w:after="0" w:line="240" w:lineRule="auto"/>
        <w:ind w:left="0"/>
        <w:rPr>
          <w:rFonts w:ascii="Arial" w:hAnsi="Arial" w:cs="Arial"/>
          <w:noProof/>
          <w:color w:val="000000" w:themeColor="text1"/>
        </w:rPr>
      </w:pPr>
      <w:r w:rsidRPr="00BF77D4">
        <w:rPr>
          <w:rFonts w:ascii="Arial" w:hAnsi="Arial" w:cs="Arial"/>
          <w:noProof/>
          <w:color w:val="000000" w:themeColor="text1"/>
        </w:rPr>
        <w:t xml:space="preserve">The business must meet the definition of an SBDC client and complete an </w:t>
      </w:r>
      <w:r w:rsidR="00CC551F" w:rsidRPr="00BF77D4">
        <w:rPr>
          <w:rFonts w:ascii="Arial" w:hAnsi="Arial" w:cs="Arial"/>
          <w:noProof/>
          <w:color w:val="000000" w:themeColor="text1"/>
        </w:rPr>
        <w:t>Client Economic Impact R</w:t>
      </w:r>
      <w:r w:rsidRPr="00BF77D4">
        <w:rPr>
          <w:rFonts w:ascii="Arial" w:hAnsi="Arial" w:cs="Arial"/>
          <w:noProof/>
          <w:color w:val="000000" w:themeColor="text1"/>
        </w:rPr>
        <w:t>eport signifying that the SBDC</w:t>
      </w:r>
      <w:r w:rsidR="00CC551F" w:rsidRPr="00BF77D4">
        <w:rPr>
          <w:rFonts w:ascii="Arial" w:hAnsi="Arial" w:cs="Arial"/>
          <w:noProof/>
          <w:color w:val="000000" w:themeColor="text1"/>
        </w:rPr>
        <w:t xml:space="preserve"> Program</w:t>
      </w:r>
      <w:r w:rsidRPr="00BF77D4">
        <w:rPr>
          <w:rFonts w:ascii="Arial" w:hAnsi="Arial" w:cs="Arial"/>
          <w:noProof/>
          <w:color w:val="000000" w:themeColor="text1"/>
        </w:rPr>
        <w:t xml:space="preserve"> assistance has resulted in a new business start in order for credit to be realized </w:t>
      </w:r>
      <w:r w:rsidR="00CC551F" w:rsidRPr="00BF77D4">
        <w:rPr>
          <w:rFonts w:ascii="Arial" w:hAnsi="Arial" w:cs="Arial"/>
          <w:noProof/>
          <w:color w:val="000000" w:themeColor="text1"/>
        </w:rPr>
        <w:t>in the Neoserra</w:t>
      </w:r>
      <w:r w:rsidRPr="00BF77D4">
        <w:rPr>
          <w:rFonts w:ascii="Arial" w:hAnsi="Arial" w:cs="Arial"/>
          <w:noProof/>
          <w:color w:val="000000" w:themeColor="text1"/>
        </w:rPr>
        <w:t>.</w:t>
      </w:r>
      <w:r w:rsidR="00D12E9B" w:rsidRPr="00BF77D4">
        <w:rPr>
          <w:rFonts w:ascii="Arial" w:hAnsi="Arial" w:cs="Arial"/>
          <w:noProof/>
          <w:color w:val="000000" w:themeColor="text1"/>
        </w:rPr>
        <w:t xml:space="preserve"> </w:t>
      </w:r>
    </w:p>
    <w:p w14:paraId="3EE342B8" w14:textId="2F837465" w:rsidR="009C78B1" w:rsidRDefault="009C78B1" w:rsidP="00F52E53">
      <w:pPr>
        <w:pStyle w:val="ListParagraph"/>
        <w:spacing w:after="0" w:line="240" w:lineRule="auto"/>
        <w:ind w:left="0"/>
        <w:rPr>
          <w:rFonts w:ascii="Arial" w:hAnsi="Arial" w:cs="Arial"/>
          <w:noProof/>
          <w:color w:val="000000" w:themeColor="text1"/>
        </w:rPr>
      </w:pPr>
    </w:p>
    <w:p w14:paraId="61152194" w14:textId="5BDEFFB4" w:rsidR="009C78B1" w:rsidRPr="00C83E23" w:rsidRDefault="009C78B1" w:rsidP="00F52E53">
      <w:pPr>
        <w:pStyle w:val="ListParagraph"/>
        <w:spacing w:after="0" w:line="240" w:lineRule="auto"/>
        <w:ind w:left="0"/>
        <w:rPr>
          <w:rFonts w:ascii="Arial" w:hAnsi="Arial" w:cs="Arial"/>
          <w:noProof/>
          <w:color w:val="000000" w:themeColor="text1"/>
        </w:rPr>
      </w:pPr>
      <w:r w:rsidRPr="00C83E23">
        <w:rPr>
          <w:rFonts w:ascii="Arial" w:eastAsia="Garamond" w:hAnsi="Arial" w:cs="Arial"/>
          <w:color w:val="000000" w:themeColor="text1"/>
        </w:rPr>
        <w:t>Note: Remember to capture the value of equity investments when someone starts a business – i.e. value of equipment such as work vehicle, computer, printer, software and other tools associated with operating the business to include the dollar amount.</w:t>
      </w:r>
    </w:p>
    <w:p w14:paraId="4A9E464E" w14:textId="77777777" w:rsidR="00B606C4" w:rsidRPr="00BF77D4" w:rsidRDefault="00B606C4" w:rsidP="00F52E53">
      <w:pPr>
        <w:pStyle w:val="ListParagraph"/>
        <w:spacing w:after="0" w:line="240" w:lineRule="auto"/>
        <w:ind w:left="0"/>
        <w:rPr>
          <w:rFonts w:ascii="Arial" w:hAnsi="Arial" w:cs="Arial"/>
          <w:color w:val="000000" w:themeColor="text1"/>
          <w:highlight w:val="yellow"/>
        </w:rPr>
      </w:pPr>
    </w:p>
    <w:p w14:paraId="34FBEB4A" w14:textId="127218A6" w:rsidR="00643161" w:rsidRPr="00BF77D4" w:rsidRDefault="002F552A" w:rsidP="00F52E53">
      <w:pPr>
        <w:pStyle w:val="ListParagraph"/>
        <w:spacing w:after="0" w:line="240" w:lineRule="auto"/>
        <w:ind w:left="0"/>
        <w:rPr>
          <w:rFonts w:ascii="Arial" w:hAnsi="Arial" w:cs="Arial"/>
          <w:color w:val="000000" w:themeColor="text1"/>
        </w:rPr>
      </w:pPr>
      <w:r w:rsidRPr="00BF77D4">
        <w:rPr>
          <w:rFonts w:ascii="Arial" w:hAnsi="Arial" w:cs="Arial"/>
          <w:b/>
          <w:color w:val="000000" w:themeColor="text1"/>
          <w:u w:val="single"/>
        </w:rPr>
        <w:t>Dollar a</w:t>
      </w:r>
      <w:r w:rsidR="003B4EEA" w:rsidRPr="00BF77D4">
        <w:rPr>
          <w:rFonts w:ascii="Arial" w:hAnsi="Arial" w:cs="Arial"/>
          <w:b/>
          <w:color w:val="000000" w:themeColor="text1"/>
          <w:u w:val="single"/>
        </w:rPr>
        <w:t xml:space="preserve">mount of </w:t>
      </w:r>
      <w:r w:rsidRPr="00BF77D4">
        <w:rPr>
          <w:rFonts w:ascii="Arial" w:hAnsi="Arial" w:cs="Arial"/>
          <w:b/>
          <w:color w:val="000000" w:themeColor="text1"/>
          <w:u w:val="single"/>
        </w:rPr>
        <w:t>capital i</w:t>
      </w:r>
      <w:r w:rsidR="00FD3FEA" w:rsidRPr="00BF77D4">
        <w:rPr>
          <w:rFonts w:ascii="Arial" w:hAnsi="Arial" w:cs="Arial"/>
          <w:b/>
          <w:color w:val="000000" w:themeColor="text1"/>
          <w:u w:val="single"/>
        </w:rPr>
        <w:t>nfusion</w:t>
      </w:r>
      <w:r w:rsidR="009A66CE" w:rsidRPr="00BF77D4">
        <w:rPr>
          <w:rFonts w:ascii="Arial" w:hAnsi="Arial" w:cs="Arial"/>
          <w:b/>
          <w:color w:val="000000" w:themeColor="text1"/>
          <w:u w:val="single"/>
        </w:rPr>
        <w:t>:</w:t>
      </w:r>
      <w:r w:rsidR="009A66CE" w:rsidRPr="00BF77D4">
        <w:rPr>
          <w:rFonts w:ascii="Arial" w:hAnsi="Arial" w:cs="Arial"/>
          <w:color w:val="000000" w:themeColor="text1"/>
        </w:rPr>
        <w:t xml:space="preserve"> </w:t>
      </w:r>
      <w:r w:rsidR="00D12E9B" w:rsidRPr="00BF77D4">
        <w:rPr>
          <w:rFonts w:ascii="Arial" w:hAnsi="Arial" w:cs="Arial"/>
          <w:noProof/>
          <w:color w:val="000000" w:themeColor="text1"/>
        </w:rPr>
        <w:t>(SBA Measure)</w:t>
      </w:r>
      <w:r w:rsidR="00CF0681" w:rsidRPr="00BF77D4">
        <w:rPr>
          <w:rFonts w:ascii="Arial" w:hAnsi="Arial" w:cs="Arial"/>
          <w:b/>
          <w:color w:val="000000" w:themeColor="text1"/>
        </w:rPr>
        <w:t xml:space="preserve"> </w:t>
      </w:r>
      <w:r w:rsidR="00CC551F" w:rsidRPr="00BF77D4">
        <w:rPr>
          <w:rFonts w:ascii="Arial" w:hAnsi="Arial" w:cs="Arial"/>
          <w:color w:val="000000" w:themeColor="text1"/>
        </w:rPr>
        <w:t>Capital infusion</w:t>
      </w:r>
      <w:r w:rsidR="00C42DC0" w:rsidRPr="00BF77D4">
        <w:rPr>
          <w:rFonts w:ascii="Arial" w:hAnsi="Arial" w:cs="Arial"/>
          <w:color w:val="000000" w:themeColor="text1"/>
        </w:rPr>
        <w:t xml:space="preserve"> includes all forms of capital debt </w:t>
      </w:r>
      <w:r w:rsidR="00C42DC0" w:rsidRPr="00BF77D4">
        <w:rPr>
          <w:rFonts w:ascii="Arial" w:hAnsi="Arial" w:cs="Arial"/>
          <w:noProof/>
          <w:color w:val="000000" w:themeColor="text1"/>
        </w:rPr>
        <w:t>and/or</w:t>
      </w:r>
      <w:r w:rsidR="00C42DC0" w:rsidRPr="00BF77D4">
        <w:rPr>
          <w:rFonts w:ascii="Arial" w:hAnsi="Arial" w:cs="Arial"/>
          <w:color w:val="000000" w:themeColor="text1"/>
        </w:rPr>
        <w:t xml:space="preserve"> investments from all sources (i.e., lines of credit, consumer debt products </w:t>
      </w:r>
      <w:r w:rsidR="00C42DC0" w:rsidRPr="00BF77D4">
        <w:rPr>
          <w:rFonts w:ascii="Arial" w:hAnsi="Arial" w:cs="Arial"/>
          <w:noProof/>
          <w:color w:val="000000" w:themeColor="text1"/>
        </w:rPr>
        <w:t>used specifically</w:t>
      </w:r>
      <w:r w:rsidR="00C42DC0" w:rsidRPr="00BF77D4">
        <w:rPr>
          <w:rFonts w:ascii="Arial" w:hAnsi="Arial" w:cs="Arial"/>
          <w:color w:val="000000" w:themeColor="text1"/>
        </w:rPr>
        <w:t xml:space="preserve"> for the business, angel investors, owner’s capital contributions, etc.).  </w:t>
      </w:r>
      <w:r w:rsidR="00C42DC0" w:rsidRPr="00BF77D4">
        <w:rPr>
          <w:rFonts w:ascii="Arial" w:hAnsi="Arial" w:cs="Arial"/>
          <w:noProof/>
          <w:color w:val="000000" w:themeColor="text1"/>
        </w:rPr>
        <w:t xml:space="preserve">Credit lines and other revolving debt facilities/instruments </w:t>
      </w:r>
      <w:r w:rsidR="00D3314B" w:rsidRPr="00BF77D4">
        <w:rPr>
          <w:rFonts w:ascii="Arial" w:hAnsi="Arial" w:cs="Arial"/>
          <w:noProof/>
          <w:color w:val="000000" w:themeColor="text1"/>
        </w:rPr>
        <w:t xml:space="preserve">such as credit cards </w:t>
      </w:r>
      <w:r w:rsidR="00C42DC0" w:rsidRPr="00BF77D4">
        <w:rPr>
          <w:rFonts w:ascii="Arial" w:hAnsi="Arial" w:cs="Arial"/>
          <w:noProof/>
          <w:color w:val="000000" w:themeColor="text1"/>
        </w:rPr>
        <w:t xml:space="preserve">are to be recognized for the full </w:t>
      </w:r>
      <w:r w:rsidR="00C42DC0" w:rsidRPr="00BF77D4">
        <w:rPr>
          <w:rFonts w:ascii="Arial" w:hAnsi="Arial" w:cs="Arial"/>
          <w:noProof/>
          <w:color w:val="000000" w:themeColor="text1"/>
        </w:rPr>
        <w:lastRenderedPageBreak/>
        <w:t>amount of the line of credit when established and not to be based on individual draw-down</w:t>
      </w:r>
      <w:r w:rsidR="00F60C8A" w:rsidRPr="00BF77D4">
        <w:rPr>
          <w:rFonts w:ascii="Arial" w:hAnsi="Arial" w:cs="Arial"/>
          <w:noProof/>
          <w:color w:val="000000" w:themeColor="text1"/>
        </w:rPr>
        <w:t>s</w:t>
      </w:r>
      <w:r w:rsidR="001A18AB" w:rsidRPr="00BF77D4">
        <w:rPr>
          <w:rFonts w:ascii="Arial" w:hAnsi="Arial" w:cs="Arial"/>
          <w:noProof/>
          <w:color w:val="000000" w:themeColor="text1"/>
        </w:rPr>
        <w:t>.  It is the aggreg</w:t>
      </w:r>
      <w:r w:rsidR="00EA5729" w:rsidRPr="00BF77D4">
        <w:rPr>
          <w:rFonts w:ascii="Arial" w:hAnsi="Arial" w:cs="Arial"/>
          <w:noProof/>
          <w:color w:val="000000" w:themeColor="text1"/>
        </w:rPr>
        <w:t>ate total of the dollar amount of SBA</w:t>
      </w:r>
      <w:r w:rsidR="001A18AB" w:rsidRPr="00BF77D4">
        <w:rPr>
          <w:rFonts w:ascii="Arial" w:hAnsi="Arial" w:cs="Arial"/>
          <w:noProof/>
          <w:color w:val="000000" w:themeColor="text1"/>
        </w:rPr>
        <w:t xml:space="preserve"> loa</w:t>
      </w:r>
      <w:r w:rsidR="00EA5729" w:rsidRPr="00BF77D4">
        <w:rPr>
          <w:rFonts w:ascii="Arial" w:hAnsi="Arial" w:cs="Arial"/>
          <w:noProof/>
          <w:color w:val="000000" w:themeColor="text1"/>
        </w:rPr>
        <w:t>ns plus dollar amount of non-SBA</w:t>
      </w:r>
      <w:r w:rsidR="001A18AB" w:rsidRPr="00BF77D4">
        <w:rPr>
          <w:rFonts w:ascii="Arial" w:hAnsi="Arial" w:cs="Arial"/>
          <w:noProof/>
          <w:color w:val="000000" w:themeColor="text1"/>
        </w:rPr>
        <w:t xml:space="preserve"> loans plus dollar a</w:t>
      </w:r>
      <w:r w:rsidR="00EA5729" w:rsidRPr="00BF77D4">
        <w:rPr>
          <w:rFonts w:ascii="Arial" w:hAnsi="Arial" w:cs="Arial"/>
          <w:noProof/>
          <w:color w:val="000000" w:themeColor="text1"/>
        </w:rPr>
        <w:t>mount of equity capital (to incl</w:t>
      </w:r>
      <w:r w:rsidR="001A18AB" w:rsidRPr="00BF77D4">
        <w:rPr>
          <w:rFonts w:ascii="Arial" w:hAnsi="Arial" w:cs="Arial"/>
          <w:noProof/>
          <w:color w:val="000000" w:themeColor="text1"/>
        </w:rPr>
        <w:t>ude private investment).</w:t>
      </w:r>
      <w:r w:rsidR="00643161" w:rsidRPr="00BF77D4">
        <w:rPr>
          <w:rFonts w:ascii="Arial" w:hAnsi="Arial" w:cs="Arial"/>
          <w:noProof/>
          <w:color w:val="000000" w:themeColor="text1"/>
        </w:rPr>
        <w:t xml:space="preserve"> The business must meet the definition of an SBDC client and complete an </w:t>
      </w:r>
      <w:r w:rsidR="00CC551F" w:rsidRPr="00BF77D4">
        <w:rPr>
          <w:rFonts w:ascii="Arial" w:hAnsi="Arial" w:cs="Arial"/>
          <w:noProof/>
          <w:color w:val="000000" w:themeColor="text1"/>
        </w:rPr>
        <w:t>Client Economic Impact R</w:t>
      </w:r>
      <w:r w:rsidR="00643161" w:rsidRPr="00BF77D4">
        <w:rPr>
          <w:rFonts w:ascii="Arial" w:hAnsi="Arial" w:cs="Arial"/>
          <w:noProof/>
          <w:color w:val="000000" w:themeColor="text1"/>
        </w:rPr>
        <w:t xml:space="preserve">eport signifying that the SBDC </w:t>
      </w:r>
      <w:r w:rsidR="00CC551F" w:rsidRPr="00BF77D4">
        <w:rPr>
          <w:rFonts w:ascii="Arial" w:hAnsi="Arial" w:cs="Arial"/>
          <w:noProof/>
          <w:color w:val="000000" w:themeColor="text1"/>
        </w:rPr>
        <w:t xml:space="preserve">Program </w:t>
      </w:r>
      <w:r w:rsidR="00643161" w:rsidRPr="00BF77D4">
        <w:rPr>
          <w:rFonts w:ascii="Arial" w:hAnsi="Arial" w:cs="Arial"/>
          <w:noProof/>
          <w:color w:val="000000" w:themeColor="text1"/>
        </w:rPr>
        <w:t xml:space="preserve">assistance has resulted in the capital infusion in order for credit to be realized </w:t>
      </w:r>
      <w:r w:rsidR="00CC551F" w:rsidRPr="00BF77D4">
        <w:rPr>
          <w:rFonts w:ascii="Arial" w:hAnsi="Arial" w:cs="Arial"/>
          <w:noProof/>
          <w:color w:val="000000" w:themeColor="text1"/>
        </w:rPr>
        <w:t>in Neoserra</w:t>
      </w:r>
      <w:r w:rsidR="00643161" w:rsidRPr="00BF77D4">
        <w:rPr>
          <w:rFonts w:ascii="Arial" w:hAnsi="Arial" w:cs="Arial"/>
          <w:noProof/>
          <w:color w:val="000000" w:themeColor="text1"/>
        </w:rPr>
        <w:t>.</w:t>
      </w:r>
      <w:r w:rsidR="00643161" w:rsidRPr="00BF77D4">
        <w:rPr>
          <w:rFonts w:ascii="Arial" w:hAnsi="Arial" w:cs="Arial"/>
          <w:color w:val="000000" w:themeColor="text1"/>
        </w:rPr>
        <w:t xml:space="preserve"> </w:t>
      </w:r>
      <w:r w:rsidR="00F60C8A" w:rsidRPr="00BF77D4">
        <w:rPr>
          <w:rFonts w:ascii="Arial" w:hAnsi="Arial" w:cs="Arial"/>
          <w:color w:val="000000" w:themeColor="text1"/>
        </w:rPr>
        <w:t xml:space="preserve">It </w:t>
      </w:r>
      <w:r w:rsidR="00F60C8A" w:rsidRPr="00BF77D4">
        <w:rPr>
          <w:rFonts w:ascii="Arial" w:hAnsi="Arial" w:cs="Arial"/>
          <w:noProof/>
          <w:color w:val="000000" w:themeColor="text1"/>
        </w:rPr>
        <w:t>is segregated</w:t>
      </w:r>
      <w:r w:rsidR="00F60C8A" w:rsidRPr="00BF77D4">
        <w:rPr>
          <w:rFonts w:ascii="Arial" w:hAnsi="Arial" w:cs="Arial"/>
          <w:color w:val="000000" w:themeColor="text1"/>
        </w:rPr>
        <w:t xml:space="preserve"> in </w:t>
      </w:r>
      <w:r w:rsidR="00C42DC0" w:rsidRPr="00BF77D4">
        <w:rPr>
          <w:rFonts w:ascii="Arial" w:hAnsi="Arial" w:cs="Arial"/>
          <w:color w:val="000000" w:themeColor="text1"/>
        </w:rPr>
        <w:t>Neoserra as:</w:t>
      </w:r>
    </w:p>
    <w:p w14:paraId="3F7E3E44" w14:textId="77777777" w:rsidR="00C42DC0" w:rsidRPr="00BF77D4" w:rsidRDefault="00C42DC0" w:rsidP="00F52E53">
      <w:pPr>
        <w:pStyle w:val="ListParagraph"/>
        <w:numPr>
          <w:ilvl w:val="0"/>
          <w:numId w:val="3"/>
        </w:numPr>
        <w:spacing w:line="240" w:lineRule="auto"/>
        <w:rPr>
          <w:rFonts w:ascii="Arial" w:hAnsi="Arial" w:cs="Arial"/>
          <w:color w:val="000000" w:themeColor="text1"/>
        </w:rPr>
      </w:pPr>
      <w:r w:rsidRPr="00BF77D4">
        <w:rPr>
          <w:rFonts w:ascii="Arial" w:hAnsi="Arial" w:cs="Arial"/>
          <w:noProof/>
          <w:color w:val="000000" w:themeColor="text1"/>
        </w:rPr>
        <w:t>Dollar</w:t>
      </w:r>
      <w:r w:rsidRPr="00BF77D4">
        <w:rPr>
          <w:rFonts w:ascii="Arial" w:hAnsi="Arial" w:cs="Arial"/>
          <w:color w:val="000000" w:themeColor="text1"/>
        </w:rPr>
        <w:t xml:space="preserve"> amount of SBA loans</w:t>
      </w:r>
    </w:p>
    <w:p w14:paraId="76ECA136" w14:textId="77777777" w:rsidR="00C55235" w:rsidRPr="00C55235" w:rsidRDefault="00C42DC0" w:rsidP="00C55235">
      <w:pPr>
        <w:pStyle w:val="ListParagraph"/>
        <w:numPr>
          <w:ilvl w:val="0"/>
          <w:numId w:val="3"/>
        </w:numPr>
        <w:spacing w:after="0" w:line="240" w:lineRule="auto"/>
        <w:contextualSpacing w:val="0"/>
        <w:rPr>
          <w:rFonts w:ascii="Arial" w:hAnsi="Arial" w:cs="Arial"/>
          <w:color w:val="000000"/>
        </w:rPr>
      </w:pPr>
      <w:r w:rsidRPr="00C55235">
        <w:rPr>
          <w:rFonts w:ascii="Arial" w:hAnsi="Arial" w:cs="Arial"/>
          <w:noProof/>
          <w:color w:val="000000" w:themeColor="text1"/>
        </w:rPr>
        <w:t>Dollar</w:t>
      </w:r>
      <w:r w:rsidRPr="00C55235">
        <w:rPr>
          <w:rFonts w:ascii="Arial" w:hAnsi="Arial" w:cs="Arial"/>
          <w:color w:val="000000" w:themeColor="text1"/>
        </w:rPr>
        <w:t xml:space="preserve"> amount of non-SBA loans</w:t>
      </w:r>
    </w:p>
    <w:p w14:paraId="099BC6E5" w14:textId="1832FBA5" w:rsidR="00C55235" w:rsidRPr="00C55235" w:rsidRDefault="00C42DC0" w:rsidP="00C55235">
      <w:pPr>
        <w:pStyle w:val="ListParagraph"/>
        <w:numPr>
          <w:ilvl w:val="0"/>
          <w:numId w:val="3"/>
        </w:numPr>
        <w:spacing w:after="0" w:line="240" w:lineRule="auto"/>
        <w:contextualSpacing w:val="0"/>
        <w:rPr>
          <w:rFonts w:ascii="Arial" w:hAnsi="Arial" w:cs="Arial"/>
          <w:color w:val="000000"/>
        </w:rPr>
      </w:pPr>
      <w:r w:rsidRPr="00C55235">
        <w:rPr>
          <w:rFonts w:ascii="Arial" w:hAnsi="Arial" w:cs="Arial"/>
          <w:noProof/>
          <w:color w:val="000000" w:themeColor="text1"/>
        </w:rPr>
        <w:t>Dollar</w:t>
      </w:r>
      <w:r w:rsidRPr="00C55235">
        <w:rPr>
          <w:rFonts w:ascii="Arial" w:hAnsi="Arial" w:cs="Arial"/>
          <w:color w:val="000000" w:themeColor="text1"/>
        </w:rPr>
        <w:t xml:space="preserve"> amount of </w:t>
      </w:r>
      <w:r w:rsidR="0051381F" w:rsidRPr="00C55235">
        <w:rPr>
          <w:rFonts w:ascii="Arial" w:hAnsi="Arial" w:cs="Arial"/>
          <w:color w:val="000000" w:themeColor="text1"/>
        </w:rPr>
        <w:t>E</w:t>
      </w:r>
      <w:r w:rsidRPr="00C55235">
        <w:rPr>
          <w:rFonts w:ascii="Arial" w:hAnsi="Arial" w:cs="Arial"/>
          <w:color w:val="000000" w:themeColor="text1"/>
        </w:rPr>
        <w:t xml:space="preserve">quity </w:t>
      </w:r>
      <w:r w:rsidR="0014026D" w:rsidRPr="00C55235">
        <w:rPr>
          <w:rFonts w:ascii="Arial" w:hAnsi="Arial" w:cs="Arial"/>
          <w:color w:val="000000" w:themeColor="text1"/>
        </w:rPr>
        <w:t>C</w:t>
      </w:r>
      <w:r w:rsidRPr="00C55235">
        <w:rPr>
          <w:rFonts w:ascii="Arial" w:hAnsi="Arial" w:cs="Arial"/>
          <w:color w:val="000000" w:themeColor="text1"/>
        </w:rPr>
        <w:t>apital (to include private investment)</w:t>
      </w:r>
      <w:bookmarkStart w:id="0" w:name="_Hlk529785590"/>
      <w:r w:rsidR="00C55235" w:rsidRPr="00C55235">
        <w:rPr>
          <w:rFonts w:ascii="Arial" w:hAnsi="Arial" w:cs="Arial"/>
          <w:color w:val="000000" w:themeColor="text1"/>
        </w:rPr>
        <w:t xml:space="preserve"> Equity contributions includes all funding (except loans) obtained by clients attributed to SBDC assistance including: grants, SBIR awards, equity investments (private and owner), etc.</w:t>
      </w:r>
    </w:p>
    <w:p w14:paraId="6A4E34DF" w14:textId="77777777" w:rsidR="0014026D" w:rsidRPr="00BF77D4" w:rsidRDefault="0014026D" w:rsidP="0014026D">
      <w:pPr>
        <w:pStyle w:val="ListParagraph"/>
        <w:spacing w:after="0"/>
        <w:ind w:left="1440"/>
        <w:contextualSpacing w:val="0"/>
        <w:rPr>
          <w:rFonts w:ascii="Garamond" w:hAnsi="Garamond" w:cs="Arial"/>
          <w:color w:val="000000" w:themeColor="text1"/>
        </w:rPr>
      </w:pPr>
    </w:p>
    <w:p w14:paraId="1BED8088" w14:textId="1521ECE1" w:rsidR="0014026D" w:rsidRPr="00BF77D4" w:rsidRDefault="0014026D" w:rsidP="00BF77D4">
      <w:pPr>
        <w:spacing w:after="120" w:line="240" w:lineRule="auto"/>
        <w:rPr>
          <w:rFonts w:ascii="Arial" w:hAnsi="Arial" w:cs="Arial"/>
          <w:color w:val="000000" w:themeColor="text1"/>
        </w:rPr>
      </w:pPr>
      <w:r w:rsidRPr="00BF77D4">
        <w:rPr>
          <w:rFonts w:ascii="Arial" w:hAnsi="Arial" w:cs="Arial"/>
          <w:color w:val="000000" w:themeColor="text1"/>
        </w:rPr>
        <w:t xml:space="preserve">NOTE: </w:t>
      </w:r>
      <w:r w:rsidR="0098044C" w:rsidRPr="00BF77D4">
        <w:rPr>
          <w:rFonts w:ascii="Arial" w:hAnsi="Arial" w:cs="Arial"/>
          <w:color w:val="000000" w:themeColor="text1"/>
        </w:rPr>
        <w:t>C</w:t>
      </w:r>
      <w:r w:rsidRPr="00BF77D4">
        <w:rPr>
          <w:rFonts w:ascii="Arial" w:hAnsi="Arial" w:cs="Arial"/>
          <w:color w:val="000000" w:themeColor="text1"/>
        </w:rPr>
        <w:t>apital infusion measures and reporting should not contain sales increases or events such as private or government contracts awarded since these are distinguished separately on the Form 641 and subsequently in EDMIS-NG.</w:t>
      </w:r>
    </w:p>
    <w:p w14:paraId="08916566" w14:textId="77777777" w:rsidR="00F07B5A" w:rsidRPr="00BF77D4" w:rsidRDefault="00F07B5A" w:rsidP="00F07B5A">
      <w:pPr>
        <w:pStyle w:val="ListParagraph"/>
        <w:spacing w:line="240" w:lineRule="auto"/>
        <w:rPr>
          <w:rFonts w:ascii="Arial" w:hAnsi="Arial" w:cs="Arial"/>
          <w:color w:val="000000" w:themeColor="text1"/>
          <w:highlight w:val="yellow"/>
        </w:rPr>
      </w:pPr>
    </w:p>
    <w:p w14:paraId="11CB0ECA" w14:textId="51891F0C" w:rsidR="006F1B21" w:rsidRPr="00BF77D4" w:rsidRDefault="008A0BF1" w:rsidP="00F07B5A">
      <w:pPr>
        <w:pStyle w:val="ListParagraph"/>
        <w:spacing w:line="240" w:lineRule="auto"/>
        <w:ind w:left="0"/>
        <w:rPr>
          <w:rFonts w:ascii="Garamond" w:hAnsi="Garamond"/>
          <w:color w:val="000000" w:themeColor="text1"/>
        </w:rPr>
      </w:pPr>
      <w:r w:rsidRPr="00BF77D4">
        <w:rPr>
          <w:rFonts w:ascii="Arial" w:hAnsi="Arial" w:cs="Arial"/>
          <w:b/>
          <w:noProof/>
          <w:color w:val="000000" w:themeColor="text1"/>
          <w:u w:val="single"/>
        </w:rPr>
        <w:t xml:space="preserve">Number of </w:t>
      </w:r>
      <w:r w:rsidR="00D12E9B" w:rsidRPr="00BF77D4">
        <w:rPr>
          <w:rFonts w:ascii="Arial" w:hAnsi="Arial" w:cs="Arial"/>
          <w:b/>
          <w:noProof/>
          <w:color w:val="000000" w:themeColor="text1"/>
          <w:u w:val="single"/>
        </w:rPr>
        <w:t>jobs s</w:t>
      </w:r>
      <w:r w:rsidR="00B15C95" w:rsidRPr="00BF77D4">
        <w:rPr>
          <w:rFonts w:ascii="Arial" w:hAnsi="Arial" w:cs="Arial"/>
          <w:b/>
          <w:noProof/>
          <w:color w:val="000000" w:themeColor="text1"/>
          <w:u w:val="single"/>
        </w:rPr>
        <w:t>upported</w:t>
      </w:r>
      <w:r w:rsidR="009A66CE" w:rsidRPr="00BF77D4">
        <w:rPr>
          <w:rFonts w:ascii="Arial" w:hAnsi="Arial" w:cs="Arial"/>
          <w:b/>
          <w:noProof/>
          <w:color w:val="000000" w:themeColor="text1"/>
          <w:u w:val="single"/>
        </w:rPr>
        <w:t>:</w:t>
      </w:r>
      <w:r w:rsidR="009A66CE" w:rsidRPr="00BF77D4">
        <w:rPr>
          <w:rFonts w:ascii="Arial" w:hAnsi="Arial" w:cs="Arial"/>
          <w:noProof/>
          <w:color w:val="000000" w:themeColor="text1"/>
        </w:rPr>
        <w:t xml:space="preserve"> </w:t>
      </w:r>
      <w:r w:rsidR="00D12E9B" w:rsidRPr="00BF77D4">
        <w:rPr>
          <w:rFonts w:ascii="Arial" w:hAnsi="Arial" w:cs="Arial"/>
          <w:noProof/>
          <w:color w:val="000000" w:themeColor="text1"/>
        </w:rPr>
        <w:t>(SBA Measure)</w:t>
      </w:r>
      <w:r w:rsidR="009A66CE" w:rsidRPr="00BF77D4">
        <w:rPr>
          <w:rFonts w:ascii="Arial" w:hAnsi="Arial" w:cs="Arial"/>
          <w:noProof/>
          <w:color w:val="000000" w:themeColor="text1"/>
        </w:rPr>
        <w:t xml:space="preserve">  </w:t>
      </w:r>
      <w:r w:rsidR="00B15C95" w:rsidRPr="00BF77D4">
        <w:rPr>
          <w:rFonts w:ascii="Arial" w:hAnsi="Arial" w:cs="Arial"/>
          <w:noProof/>
          <w:color w:val="000000" w:themeColor="text1"/>
        </w:rPr>
        <w:t xml:space="preserve">Total number of employee positions </w:t>
      </w:r>
      <w:r w:rsidR="00F07B5A" w:rsidRPr="00BF77D4">
        <w:rPr>
          <w:rFonts w:ascii="Arial" w:hAnsi="Arial" w:cs="Arial"/>
          <w:noProof/>
          <w:color w:val="000000" w:themeColor="text1"/>
        </w:rPr>
        <w:t xml:space="preserve">supported by </w:t>
      </w:r>
      <w:r w:rsidR="00B15C95" w:rsidRPr="00BF77D4">
        <w:rPr>
          <w:rFonts w:ascii="Arial" w:hAnsi="Arial" w:cs="Arial"/>
          <w:noProof/>
          <w:color w:val="000000" w:themeColor="text1"/>
        </w:rPr>
        <w:t>services provided</w:t>
      </w:r>
      <w:r w:rsidR="00B3645B" w:rsidRPr="00BF77D4">
        <w:rPr>
          <w:rFonts w:ascii="Arial" w:hAnsi="Arial" w:cs="Arial"/>
          <w:noProof/>
          <w:color w:val="000000" w:themeColor="text1"/>
        </w:rPr>
        <w:t>.  Computed by EDMIS</w:t>
      </w:r>
      <w:r w:rsidR="00DA4DBA" w:rsidRPr="00BF77D4">
        <w:rPr>
          <w:rFonts w:ascii="Arial" w:hAnsi="Arial" w:cs="Arial"/>
          <w:noProof/>
          <w:color w:val="000000" w:themeColor="text1"/>
        </w:rPr>
        <w:t>-NG</w:t>
      </w:r>
      <w:r w:rsidR="00B3645B" w:rsidRPr="00BF77D4">
        <w:rPr>
          <w:rFonts w:ascii="Arial" w:hAnsi="Arial" w:cs="Arial"/>
          <w:noProof/>
          <w:color w:val="000000" w:themeColor="text1"/>
        </w:rPr>
        <w:t xml:space="preserve"> as a sum of jobs c</w:t>
      </w:r>
      <w:r w:rsidR="00B15C95" w:rsidRPr="00BF77D4">
        <w:rPr>
          <w:rFonts w:ascii="Arial" w:hAnsi="Arial" w:cs="Arial"/>
          <w:noProof/>
          <w:color w:val="000000" w:themeColor="text1"/>
        </w:rPr>
        <w:t xml:space="preserve">reated </w:t>
      </w:r>
      <w:r w:rsidR="000E3461" w:rsidRPr="00BF77D4">
        <w:rPr>
          <w:rFonts w:ascii="Arial" w:hAnsi="Arial" w:cs="Arial"/>
          <w:noProof/>
          <w:color w:val="000000" w:themeColor="text1"/>
        </w:rPr>
        <w:t>and jobs re</w:t>
      </w:r>
      <w:r w:rsidR="00CC551F" w:rsidRPr="00BF77D4">
        <w:rPr>
          <w:rFonts w:ascii="Arial" w:hAnsi="Arial" w:cs="Arial"/>
          <w:noProof/>
          <w:color w:val="000000" w:themeColor="text1"/>
        </w:rPr>
        <w:t>tained</w:t>
      </w:r>
      <w:r w:rsidR="00F75BE3" w:rsidRPr="00BF77D4">
        <w:rPr>
          <w:rFonts w:ascii="Arial" w:hAnsi="Arial" w:cs="Arial"/>
          <w:noProof/>
          <w:color w:val="000000" w:themeColor="text1"/>
        </w:rPr>
        <w:t>.</w:t>
      </w:r>
    </w:p>
    <w:p w14:paraId="2D3E6C87" w14:textId="77777777" w:rsidR="006F1B21" w:rsidRPr="00BF77D4" w:rsidRDefault="006F1B21" w:rsidP="00F07B5A">
      <w:pPr>
        <w:pStyle w:val="ListParagraph"/>
        <w:spacing w:line="240" w:lineRule="auto"/>
        <w:ind w:left="0"/>
        <w:rPr>
          <w:rFonts w:ascii="Garamond" w:hAnsi="Garamond"/>
          <w:color w:val="000000" w:themeColor="text1"/>
        </w:rPr>
      </w:pPr>
    </w:p>
    <w:p w14:paraId="478AF1DA" w14:textId="77C1E767" w:rsidR="00FA3B95" w:rsidRPr="00BF77D4" w:rsidRDefault="006F1B21" w:rsidP="006B70B1">
      <w:pPr>
        <w:pStyle w:val="ListParagraph"/>
        <w:spacing w:line="240" w:lineRule="auto"/>
        <w:rPr>
          <w:rFonts w:ascii="Arial" w:hAnsi="Arial" w:cs="Arial"/>
          <w:color w:val="000000" w:themeColor="text1"/>
        </w:rPr>
      </w:pPr>
      <w:r w:rsidRPr="00C30709">
        <w:rPr>
          <w:rFonts w:ascii="Arial" w:hAnsi="Arial" w:cs="Arial"/>
          <w:b/>
          <w:bCs/>
          <w:color w:val="000000" w:themeColor="text1"/>
          <w:u w:val="single"/>
        </w:rPr>
        <w:t>Jobs Created</w:t>
      </w:r>
      <w:r w:rsidRPr="00BF77D4">
        <w:rPr>
          <w:rFonts w:ascii="Arial" w:hAnsi="Arial" w:cs="Arial"/>
          <w:color w:val="000000" w:themeColor="text1"/>
        </w:rPr>
        <w:t xml:space="preserve">:  See </w:t>
      </w:r>
      <w:r w:rsidR="00EB3FED" w:rsidRPr="00BF77D4">
        <w:rPr>
          <w:rFonts w:ascii="Arial" w:hAnsi="Arial" w:cs="Arial"/>
          <w:color w:val="000000" w:themeColor="text1"/>
        </w:rPr>
        <w:t xml:space="preserve">earlier </w:t>
      </w:r>
      <w:r w:rsidRPr="00BF77D4">
        <w:rPr>
          <w:rFonts w:ascii="Arial" w:hAnsi="Arial" w:cs="Arial"/>
          <w:color w:val="000000" w:themeColor="text1"/>
        </w:rPr>
        <w:t>defini</w:t>
      </w:r>
      <w:r w:rsidR="00FA3B95" w:rsidRPr="00BF77D4">
        <w:rPr>
          <w:rFonts w:ascii="Arial" w:hAnsi="Arial" w:cs="Arial"/>
          <w:color w:val="000000" w:themeColor="text1"/>
        </w:rPr>
        <w:t>tion</w:t>
      </w:r>
      <w:r w:rsidR="00EB3FED" w:rsidRPr="00BF77D4">
        <w:rPr>
          <w:rFonts w:ascii="Arial" w:hAnsi="Arial" w:cs="Arial"/>
          <w:color w:val="000000" w:themeColor="text1"/>
        </w:rPr>
        <w:t>.</w:t>
      </w:r>
    </w:p>
    <w:p w14:paraId="4A207A0A" w14:textId="77777777" w:rsidR="00FA3B95" w:rsidRPr="00BF77D4" w:rsidRDefault="00FA3B95" w:rsidP="00F07B5A">
      <w:pPr>
        <w:pStyle w:val="ListParagraph"/>
        <w:spacing w:line="240" w:lineRule="auto"/>
        <w:ind w:left="0"/>
        <w:rPr>
          <w:rFonts w:ascii="Arial" w:hAnsi="Arial" w:cs="Arial"/>
          <w:color w:val="000000" w:themeColor="text1"/>
        </w:rPr>
      </w:pPr>
    </w:p>
    <w:p w14:paraId="140B2401" w14:textId="43388654" w:rsidR="00F07B5A" w:rsidRPr="00BF77D4" w:rsidRDefault="00FA3B95" w:rsidP="006B70B1">
      <w:pPr>
        <w:pStyle w:val="ListParagraph"/>
        <w:spacing w:line="240" w:lineRule="auto"/>
        <w:rPr>
          <w:rFonts w:ascii="Arial" w:hAnsi="Arial" w:cs="Arial"/>
          <w:color w:val="000000" w:themeColor="text1"/>
        </w:rPr>
      </w:pPr>
      <w:r w:rsidRPr="00C30709">
        <w:rPr>
          <w:rFonts w:ascii="Arial" w:hAnsi="Arial" w:cs="Arial"/>
          <w:b/>
          <w:bCs/>
          <w:color w:val="000000" w:themeColor="text1"/>
          <w:u w:val="single"/>
        </w:rPr>
        <w:t>Jobs Retained</w:t>
      </w:r>
      <w:r w:rsidRPr="00BF77D4">
        <w:rPr>
          <w:rFonts w:ascii="Arial" w:hAnsi="Arial" w:cs="Arial"/>
          <w:color w:val="000000" w:themeColor="text1"/>
        </w:rPr>
        <w:t>: I</w:t>
      </w:r>
      <w:r w:rsidR="006F1B21" w:rsidRPr="00BF77D4">
        <w:rPr>
          <w:rFonts w:ascii="Arial" w:hAnsi="Arial" w:cs="Arial"/>
          <w:color w:val="000000" w:themeColor="text1"/>
        </w:rPr>
        <w:t xml:space="preserve">s the total number of </w:t>
      </w:r>
      <w:r w:rsidR="004A6286" w:rsidRPr="00BF77D4">
        <w:rPr>
          <w:rFonts w:ascii="Arial" w:hAnsi="Arial" w:cs="Arial"/>
          <w:color w:val="000000" w:themeColor="text1"/>
        </w:rPr>
        <w:t xml:space="preserve">full and part time employees in a </w:t>
      </w:r>
      <w:r w:rsidR="006F1B21" w:rsidRPr="00BF77D4">
        <w:rPr>
          <w:rFonts w:ascii="Arial" w:hAnsi="Arial" w:cs="Arial"/>
          <w:color w:val="000000" w:themeColor="text1"/>
        </w:rPr>
        <w:t>client</w:t>
      </w:r>
      <w:r w:rsidR="004A6286" w:rsidRPr="00BF77D4">
        <w:rPr>
          <w:rFonts w:ascii="Arial" w:hAnsi="Arial" w:cs="Arial"/>
          <w:color w:val="000000" w:themeColor="text1"/>
        </w:rPr>
        <w:t xml:space="preserve"> record </w:t>
      </w:r>
      <w:r w:rsidR="006F1B21" w:rsidRPr="00BF77D4">
        <w:rPr>
          <w:rFonts w:ascii="Arial" w:hAnsi="Arial" w:cs="Arial"/>
          <w:color w:val="000000" w:themeColor="text1"/>
        </w:rPr>
        <w:t>carrie</w:t>
      </w:r>
      <w:r w:rsidR="004A6286" w:rsidRPr="00BF77D4">
        <w:rPr>
          <w:rFonts w:ascii="Arial" w:hAnsi="Arial" w:cs="Arial"/>
          <w:color w:val="000000" w:themeColor="text1"/>
        </w:rPr>
        <w:t>d</w:t>
      </w:r>
      <w:r w:rsidR="006F1B21" w:rsidRPr="00BF77D4">
        <w:rPr>
          <w:rFonts w:ascii="Arial" w:hAnsi="Arial" w:cs="Arial"/>
          <w:color w:val="000000" w:themeColor="text1"/>
        </w:rPr>
        <w:t xml:space="preserve"> over from the previous </w:t>
      </w:r>
      <w:r w:rsidR="004A6286" w:rsidRPr="00BF77D4">
        <w:rPr>
          <w:rFonts w:ascii="Arial" w:hAnsi="Arial" w:cs="Arial"/>
          <w:color w:val="000000" w:themeColor="text1"/>
        </w:rPr>
        <w:t>calendar</w:t>
      </w:r>
      <w:r w:rsidR="006F1B21" w:rsidRPr="00BF77D4">
        <w:rPr>
          <w:rFonts w:ascii="Arial" w:hAnsi="Arial" w:cs="Arial"/>
          <w:color w:val="000000" w:themeColor="text1"/>
        </w:rPr>
        <w:t xml:space="preserve"> </w:t>
      </w:r>
      <w:r w:rsidR="004A6286" w:rsidRPr="00BF77D4">
        <w:rPr>
          <w:rFonts w:ascii="Arial" w:hAnsi="Arial" w:cs="Arial"/>
          <w:color w:val="000000" w:themeColor="text1"/>
        </w:rPr>
        <w:t xml:space="preserve">year </w:t>
      </w:r>
      <w:r w:rsidR="006F1B21" w:rsidRPr="00BF77D4">
        <w:rPr>
          <w:rFonts w:ascii="Arial" w:hAnsi="Arial" w:cs="Arial"/>
          <w:color w:val="000000" w:themeColor="text1"/>
        </w:rPr>
        <w:t xml:space="preserve">to the current </w:t>
      </w:r>
      <w:r w:rsidR="004A6286" w:rsidRPr="00BF77D4">
        <w:rPr>
          <w:rFonts w:ascii="Arial" w:hAnsi="Arial" w:cs="Arial"/>
          <w:color w:val="000000" w:themeColor="text1"/>
        </w:rPr>
        <w:t xml:space="preserve">calendar </w:t>
      </w:r>
      <w:r w:rsidR="006F1B21" w:rsidRPr="00BF77D4">
        <w:rPr>
          <w:rFonts w:ascii="Arial" w:hAnsi="Arial" w:cs="Arial"/>
          <w:color w:val="000000" w:themeColor="text1"/>
        </w:rPr>
        <w:t>year</w:t>
      </w:r>
      <w:r w:rsidR="004A6286" w:rsidRPr="00BF77D4">
        <w:rPr>
          <w:rFonts w:ascii="Arial" w:hAnsi="Arial" w:cs="Arial"/>
          <w:color w:val="000000" w:themeColor="text1"/>
        </w:rPr>
        <w:t xml:space="preserve"> </w:t>
      </w:r>
      <w:r w:rsidRPr="00BF77D4">
        <w:rPr>
          <w:rFonts w:ascii="Arial" w:hAnsi="Arial" w:cs="Arial"/>
          <w:color w:val="000000" w:themeColor="text1"/>
        </w:rPr>
        <w:t xml:space="preserve">after use of SBDC services </w:t>
      </w:r>
      <w:r w:rsidR="004A6286" w:rsidRPr="00BF77D4">
        <w:rPr>
          <w:rFonts w:ascii="Arial" w:hAnsi="Arial" w:cs="Arial"/>
          <w:color w:val="000000" w:themeColor="text1"/>
        </w:rPr>
        <w:t xml:space="preserve">provided in the current calendar year. </w:t>
      </w:r>
      <w:r w:rsidR="006F1B21" w:rsidRPr="00BF77D4">
        <w:rPr>
          <w:rFonts w:ascii="Arial" w:hAnsi="Arial" w:cs="Arial"/>
          <w:color w:val="000000" w:themeColor="text1"/>
        </w:rPr>
        <w:t>This is an automatic calculation within Neoserra</w:t>
      </w:r>
      <w:r w:rsidRPr="00BF77D4">
        <w:rPr>
          <w:rFonts w:ascii="Arial" w:hAnsi="Arial" w:cs="Arial"/>
          <w:color w:val="000000" w:themeColor="text1"/>
        </w:rPr>
        <w:t xml:space="preserve"> and therefore doesn’t require a</w:t>
      </w:r>
      <w:r w:rsidR="00FA556F" w:rsidRPr="00BF77D4">
        <w:rPr>
          <w:rFonts w:ascii="Arial" w:hAnsi="Arial" w:cs="Arial"/>
          <w:color w:val="000000" w:themeColor="text1"/>
        </w:rPr>
        <w:t xml:space="preserve"> Client Economic Impact Report.</w:t>
      </w:r>
    </w:p>
    <w:p w14:paraId="5EB3664E" w14:textId="77777777" w:rsidR="00F75BE3" w:rsidRPr="00BF77D4" w:rsidRDefault="00F75BE3" w:rsidP="002F552A">
      <w:pPr>
        <w:pStyle w:val="ListParagraph"/>
        <w:spacing w:after="0" w:line="240" w:lineRule="auto"/>
        <w:ind w:left="0"/>
        <w:rPr>
          <w:rFonts w:ascii="Arial" w:hAnsi="Arial" w:cs="Arial"/>
          <w:noProof/>
          <w:color w:val="000000" w:themeColor="text1"/>
        </w:rPr>
      </w:pPr>
    </w:p>
    <w:bookmarkEnd w:id="0"/>
    <w:p w14:paraId="1C289D8A" w14:textId="2C2E2248" w:rsidR="005E6EB7" w:rsidRPr="00BF77D4" w:rsidRDefault="00496C1E" w:rsidP="00383BE2">
      <w:pPr>
        <w:spacing w:line="240" w:lineRule="auto"/>
        <w:rPr>
          <w:rFonts w:ascii="Arial" w:hAnsi="Arial" w:cs="Arial"/>
          <w:color w:val="000000" w:themeColor="text1"/>
        </w:rPr>
      </w:pPr>
      <w:r w:rsidRPr="00BF77D4">
        <w:rPr>
          <w:rFonts w:ascii="Arial" w:hAnsi="Arial" w:cs="Arial"/>
          <w:b/>
          <w:color w:val="000000" w:themeColor="text1"/>
          <w:u w:val="single"/>
        </w:rPr>
        <w:t>Number of unique clients served</w:t>
      </w:r>
      <w:r w:rsidRPr="00BF77D4">
        <w:rPr>
          <w:rFonts w:ascii="Arial" w:hAnsi="Arial" w:cs="Arial"/>
          <w:color w:val="000000" w:themeColor="text1"/>
        </w:rPr>
        <w:t>: (SBA Measure) Number of unique clients counseled and/or trained.  Computed by EDMIS</w:t>
      </w:r>
      <w:r w:rsidR="00DA4DBA" w:rsidRPr="00BF77D4">
        <w:rPr>
          <w:rFonts w:ascii="Arial" w:hAnsi="Arial" w:cs="Arial"/>
          <w:color w:val="000000" w:themeColor="text1"/>
        </w:rPr>
        <w:t>-NG</w:t>
      </w:r>
      <w:r w:rsidRPr="00BF77D4">
        <w:rPr>
          <w:rFonts w:ascii="Arial" w:hAnsi="Arial" w:cs="Arial"/>
          <w:color w:val="000000" w:themeColor="text1"/>
        </w:rPr>
        <w:t xml:space="preserve"> as a count of unique SBA client IDs with a reported counseling session or training in the time period indicated. In order to be counted, counseling clients and training clients must register through </w:t>
      </w:r>
      <w:r w:rsidR="0078649D" w:rsidRPr="00BF77D4">
        <w:rPr>
          <w:rFonts w:ascii="Arial" w:hAnsi="Arial" w:cs="Arial"/>
          <w:color w:val="000000" w:themeColor="text1"/>
        </w:rPr>
        <w:t>eC</w:t>
      </w:r>
      <w:r w:rsidR="00083D5C" w:rsidRPr="00BF77D4">
        <w:rPr>
          <w:rFonts w:ascii="Arial" w:hAnsi="Arial" w:cs="Arial"/>
          <w:color w:val="000000" w:themeColor="text1"/>
        </w:rPr>
        <w:t xml:space="preserve">enter and have signed the electronic SBA Form 641. Training attendees who have not been accepted within Neoserra as a training client will not get counted as a unique client served. Therefore, this does require </w:t>
      </w:r>
      <w:r w:rsidR="00157642" w:rsidRPr="00BF77D4">
        <w:rPr>
          <w:rFonts w:ascii="Arial" w:hAnsi="Arial" w:cs="Arial"/>
          <w:color w:val="000000" w:themeColor="text1"/>
        </w:rPr>
        <w:t xml:space="preserve">specific action within Neoserra by the counselor to make training attendees also a unique client. </w:t>
      </w:r>
    </w:p>
    <w:p w14:paraId="6EF4C952" w14:textId="75AC32ED" w:rsidR="00A80CCF" w:rsidRPr="00BF77D4" w:rsidRDefault="005E4144" w:rsidP="00A80CCF">
      <w:pPr>
        <w:spacing w:after="0" w:line="240" w:lineRule="auto"/>
        <w:rPr>
          <w:rFonts w:ascii="Arial" w:hAnsi="Arial" w:cs="Arial"/>
          <w:color w:val="000000" w:themeColor="text1"/>
          <w:sz w:val="23"/>
          <w:szCs w:val="23"/>
        </w:rPr>
      </w:pPr>
      <w:r w:rsidRPr="006B70B1">
        <w:rPr>
          <w:rFonts w:ascii="Arial" w:hAnsi="Arial" w:cs="Arial"/>
          <w:b/>
          <w:color w:val="000000" w:themeColor="text1"/>
          <w:sz w:val="24"/>
          <w:szCs w:val="24"/>
          <w:u w:val="single"/>
        </w:rPr>
        <w:t>Wildly Important Goal</w:t>
      </w:r>
      <w:r w:rsidR="00800BD6" w:rsidRPr="006B70B1">
        <w:rPr>
          <w:rFonts w:ascii="Arial" w:hAnsi="Arial" w:cs="Arial"/>
          <w:b/>
          <w:color w:val="000000" w:themeColor="text1"/>
          <w:sz w:val="24"/>
          <w:szCs w:val="24"/>
          <w:u w:val="single"/>
        </w:rPr>
        <w:t xml:space="preserve"> (WIG)</w:t>
      </w:r>
      <w:r w:rsidRPr="006B70B1">
        <w:rPr>
          <w:rFonts w:ascii="Arial" w:hAnsi="Arial" w:cs="Arial"/>
          <w:b/>
          <w:color w:val="000000" w:themeColor="text1"/>
          <w:sz w:val="24"/>
          <w:szCs w:val="24"/>
          <w:u w:val="single"/>
        </w:rPr>
        <w:t xml:space="preserve"> </w:t>
      </w:r>
      <w:r w:rsidR="004F0595" w:rsidRPr="006B70B1">
        <w:rPr>
          <w:rFonts w:ascii="Arial" w:hAnsi="Arial" w:cs="Arial"/>
          <w:b/>
          <w:color w:val="000000" w:themeColor="text1"/>
          <w:sz w:val="24"/>
          <w:szCs w:val="24"/>
          <w:u w:val="single"/>
        </w:rPr>
        <w:t xml:space="preserve">2 </w:t>
      </w:r>
      <w:r w:rsidR="004F0595" w:rsidRPr="006B70B1">
        <w:rPr>
          <w:rFonts w:ascii="Arial" w:hAnsi="Arial" w:cs="Arial"/>
          <w:b/>
          <w:color w:val="000000" w:themeColor="text1"/>
          <w:sz w:val="24"/>
          <w:szCs w:val="24"/>
        </w:rPr>
        <w:t xml:space="preserve">- </w:t>
      </w:r>
      <w:r w:rsidR="00F54963" w:rsidRPr="006B70B1">
        <w:rPr>
          <w:rFonts w:ascii="Arial" w:hAnsi="Arial" w:cs="Arial"/>
          <w:color w:val="000000" w:themeColor="text1"/>
          <w:sz w:val="24"/>
          <w:szCs w:val="24"/>
        </w:rPr>
        <w:t xml:space="preserve">  Ensure the value of the Program is demonstrated to stakeholders, partners, clients and the community by the services we provide.</w:t>
      </w:r>
      <w:r w:rsidR="00A80CCF" w:rsidRPr="00BF77D4">
        <w:rPr>
          <w:rFonts w:ascii="Arial" w:hAnsi="Arial" w:cs="Arial"/>
          <w:color w:val="000000" w:themeColor="text1"/>
          <w:sz w:val="28"/>
          <w:szCs w:val="28"/>
        </w:rPr>
        <w:t xml:space="preserve"> </w:t>
      </w:r>
      <w:r w:rsidR="00A80CCF" w:rsidRPr="00BF77D4">
        <w:rPr>
          <w:rFonts w:ascii="Arial" w:hAnsi="Arial" w:cs="Arial"/>
          <w:color w:val="000000" w:themeColor="text1"/>
          <w:sz w:val="23"/>
          <w:szCs w:val="23"/>
        </w:rPr>
        <w:t xml:space="preserve">NOTE: This will be further defined as part of the CY22 WIG 2 Statewide Action Step and the Measures that follow are Interim Measures for CY22. </w:t>
      </w:r>
    </w:p>
    <w:p w14:paraId="568B62C6" w14:textId="77777777" w:rsidR="006B70B1" w:rsidRDefault="006B70B1" w:rsidP="008A0BF1">
      <w:pPr>
        <w:spacing w:after="0" w:line="240" w:lineRule="auto"/>
        <w:jc w:val="center"/>
        <w:rPr>
          <w:rFonts w:ascii="Arial" w:hAnsi="Arial" w:cs="Arial"/>
          <w:b/>
          <w:color w:val="000000" w:themeColor="text1"/>
          <w:u w:val="single"/>
        </w:rPr>
      </w:pPr>
    </w:p>
    <w:p w14:paraId="3DCFAA6B" w14:textId="576EF3CA" w:rsidR="007C39FF" w:rsidRPr="00BF77D4" w:rsidRDefault="005F308C" w:rsidP="008A0BF1">
      <w:pPr>
        <w:spacing w:after="0" w:line="240" w:lineRule="auto"/>
        <w:jc w:val="center"/>
        <w:rPr>
          <w:rFonts w:ascii="Arial" w:hAnsi="Arial" w:cs="Arial"/>
          <w:color w:val="000000" w:themeColor="text1"/>
        </w:rPr>
      </w:pPr>
      <w:r w:rsidRPr="00BF77D4">
        <w:rPr>
          <w:rFonts w:ascii="Arial" w:hAnsi="Arial" w:cs="Arial"/>
          <w:b/>
          <w:color w:val="000000" w:themeColor="text1"/>
          <w:u w:val="single"/>
        </w:rPr>
        <w:t>Measures</w:t>
      </w:r>
      <w:r w:rsidR="00611B71" w:rsidRPr="00BF77D4">
        <w:rPr>
          <w:rFonts w:ascii="Arial" w:hAnsi="Arial" w:cs="Arial"/>
          <w:color w:val="000000" w:themeColor="text1"/>
        </w:rPr>
        <w:t xml:space="preserve"> (</w:t>
      </w:r>
      <w:r w:rsidR="00F90D21" w:rsidRPr="00BF77D4">
        <w:rPr>
          <w:rFonts w:ascii="Arial" w:hAnsi="Arial" w:cs="Arial"/>
          <w:color w:val="000000" w:themeColor="text1"/>
        </w:rPr>
        <w:t xml:space="preserve">These are all NMSBDC Measures) </w:t>
      </w:r>
    </w:p>
    <w:p w14:paraId="62C9A7EE" w14:textId="77777777" w:rsidR="008A0BF1" w:rsidRPr="00BF77D4" w:rsidRDefault="008A0BF1" w:rsidP="008A0BF1">
      <w:pPr>
        <w:spacing w:after="0" w:line="240" w:lineRule="auto"/>
        <w:jc w:val="center"/>
        <w:rPr>
          <w:rFonts w:ascii="Arial" w:hAnsi="Arial" w:cs="Arial"/>
          <w:b/>
          <w:color w:val="000000" w:themeColor="text1"/>
          <w:u w:val="single"/>
        </w:rPr>
      </w:pPr>
    </w:p>
    <w:p w14:paraId="6D3C463A" w14:textId="2E4196F0" w:rsidR="001221A9" w:rsidRPr="00BF77D4" w:rsidRDefault="001221A9" w:rsidP="001221A9">
      <w:pPr>
        <w:spacing w:line="240" w:lineRule="auto"/>
        <w:rPr>
          <w:rFonts w:ascii="Arial" w:hAnsi="Arial" w:cs="Arial"/>
          <w:b/>
          <w:color w:val="000000" w:themeColor="text1"/>
          <w:u w:val="single"/>
        </w:rPr>
      </w:pPr>
      <w:r w:rsidRPr="00BF77D4">
        <w:rPr>
          <w:rFonts w:ascii="Arial" w:hAnsi="Arial" w:cs="Arial"/>
          <w:b/>
          <w:noProof/>
          <w:color w:val="000000" w:themeColor="text1"/>
          <w:u w:val="single"/>
        </w:rPr>
        <w:t>Number</w:t>
      </w:r>
      <w:r w:rsidRPr="00BF77D4">
        <w:rPr>
          <w:rFonts w:ascii="Arial" w:hAnsi="Arial" w:cs="Arial"/>
          <w:b/>
          <w:color w:val="000000" w:themeColor="text1"/>
          <w:u w:val="single"/>
        </w:rPr>
        <w:t xml:space="preserve"> of legislative visits</w:t>
      </w:r>
      <w:r w:rsidR="00CF0681" w:rsidRPr="00BF77D4">
        <w:rPr>
          <w:rFonts w:ascii="Arial" w:hAnsi="Arial" w:cs="Arial"/>
          <w:b/>
          <w:color w:val="000000" w:themeColor="text1"/>
        </w:rPr>
        <w:t>:</w:t>
      </w:r>
      <w:r w:rsidR="00CA1F26" w:rsidRPr="00BF77D4">
        <w:rPr>
          <w:rFonts w:ascii="Arial" w:hAnsi="Arial" w:cs="Arial"/>
          <w:b/>
          <w:color w:val="000000" w:themeColor="text1"/>
        </w:rPr>
        <w:t xml:space="preserve"> </w:t>
      </w:r>
      <w:r w:rsidR="00CF0681" w:rsidRPr="00BF77D4">
        <w:rPr>
          <w:rFonts w:ascii="Arial" w:hAnsi="Arial" w:cs="Arial"/>
          <w:noProof/>
          <w:color w:val="000000" w:themeColor="text1"/>
        </w:rPr>
        <w:t>A legislative</w:t>
      </w:r>
      <w:r w:rsidR="00CF0681" w:rsidRPr="00BF77D4">
        <w:rPr>
          <w:rFonts w:ascii="Arial" w:hAnsi="Arial" w:cs="Arial"/>
          <w:color w:val="000000" w:themeColor="text1"/>
        </w:rPr>
        <w:t xml:space="preserve"> </w:t>
      </w:r>
      <w:r w:rsidR="00AA5211" w:rsidRPr="00BF77D4">
        <w:rPr>
          <w:rFonts w:ascii="Arial" w:hAnsi="Arial" w:cs="Arial"/>
          <w:color w:val="000000" w:themeColor="text1"/>
        </w:rPr>
        <w:t>visit is a phone, two-way electronic dialog, or</w:t>
      </w:r>
      <w:r w:rsidR="00CF0681" w:rsidRPr="00BF77D4">
        <w:rPr>
          <w:rFonts w:ascii="Arial" w:hAnsi="Arial" w:cs="Arial"/>
          <w:color w:val="000000" w:themeColor="text1"/>
        </w:rPr>
        <w:t xml:space="preserve"> </w:t>
      </w:r>
      <w:r w:rsidR="00AA5211" w:rsidRPr="00BF77D4">
        <w:rPr>
          <w:rFonts w:ascii="Arial" w:hAnsi="Arial" w:cs="Arial"/>
          <w:noProof/>
          <w:color w:val="000000" w:themeColor="text1"/>
        </w:rPr>
        <w:t>in person</w:t>
      </w:r>
      <w:r w:rsidR="00AA5211" w:rsidRPr="00BF77D4">
        <w:rPr>
          <w:rFonts w:ascii="Arial" w:hAnsi="Arial" w:cs="Arial"/>
          <w:color w:val="000000" w:themeColor="text1"/>
        </w:rPr>
        <w:t xml:space="preserve"> </w:t>
      </w:r>
      <w:r w:rsidR="00277ED2" w:rsidRPr="00BF77D4">
        <w:rPr>
          <w:rFonts w:ascii="Arial" w:hAnsi="Arial" w:cs="Arial"/>
          <w:color w:val="000000" w:themeColor="text1"/>
        </w:rPr>
        <w:t>visit with</w:t>
      </w:r>
      <w:r w:rsidR="00CF0681" w:rsidRPr="00BF77D4">
        <w:rPr>
          <w:rFonts w:ascii="Arial" w:hAnsi="Arial" w:cs="Arial"/>
          <w:color w:val="000000" w:themeColor="text1"/>
        </w:rPr>
        <w:t xml:space="preserve"> a</w:t>
      </w:r>
      <w:r w:rsidR="00D800AE" w:rsidRPr="00BF77D4">
        <w:rPr>
          <w:rFonts w:ascii="Arial" w:hAnsi="Arial" w:cs="Arial"/>
          <w:color w:val="000000" w:themeColor="text1"/>
        </w:rPr>
        <w:t xml:space="preserve"> New Mexico</w:t>
      </w:r>
      <w:r w:rsidR="00EA4A65" w:rsidRPr="00BF77D4">
        <w:rPr>
          <w:rFonts w:ascii="Arial" w:hAnsi="Arial" w:cs="Arial"/>
          <w:color w:val="000000" w:themeColor="text1"/>
        </w:rPr>
        <w:t xml:space="preserve"> s</w:t>
      </w:r>
      <w:r w:rsidR="00CF0681" w:rsidRPr="00BF77D4">
        <w:rPr>
          <w:rFonts w:ascii="Arial" w:hAnsi="Arial" w:cs="Arial"/>
          <w:color w:val="000000" w:themeColor="text1"/>
        </w:rPr>
        <w:t>tate or</w:t>
      </w:r>
      <w:r w:rsidR="00EA4A65" w:rsidRPr="00BF77D4">
        <w:rPr>
          <w:rFonts w:ascii="Arial" w:hAnsi="Arial" w:cs="Arial"/>
          <w:color w:val="000000" w:themeColor="text1"/>
        </w:rPr>
        <w:t xml:space="preserve"> f</w:t>
      </w:r>
      <w:r w:rsidR="00CF0681" w:rsidRPr="00BF77D4">
        <w:rPr>
          <w:rFonts w:ascii="Arial" w:hAnsi="Arial" w:cs="Arial"/>
          <w:color w:val="000000" w:themeColor="text1"/>
        </w:rPr>
        <w:t xml:space="preserve">ederal legislator </w:t>
      </w:r>
      <w:r w:rsidR="00EF39A8" w:rsidRPr="00BF77D4">
        <w:rPr>
          <w:rFonts w:ascii="Arial" w:hAnsi="Arial" w:cs="Arial"/>
          <w:color w:val="000000" w:themeColor="text1"/>
        </w:rPr>
        <w:t>or</w:t>
      </w:r>
      <w:r w:rsidR="00AA5211" w:rsidRPr="00BF77D4">
        <w:rPr>
          <w:rFonts w:ascii="Arial" w:hAnsi="Arial" w:cs="Arial"/>
          <w:color w:val="000000" w:themeColor="text1"/>
        </w:rPr>
        <w:t xml:space="preserve"> </w:t>
      </w:r>
      <w:r w:rsidR="00AA5211" w:rsidRPr="00BF77D4">
        <w:rPr>
          <w:rFonts w:ascii="Arial" w:hAnsi="Arial" w:cs="Arial"/>
          <w:noProof/>
          <w:color w:val="000000" w:themeColor="text1"/>
        </w:rPr>
        <w:t>key</w:t>
      </w:r>
      <w:r w:rsidR="00EF39A8" w:rsidRPr="00BF77D4">
        <w:rPr>
          <w:rFonts w:ascii="Arial" w:hAnsi="Arial" w:cs="Arial"/>
          <w:color w:val="000000" w:themeColor="text1"/>
        </w:rPr>
        <w:t xml:space="preserve"> </w:t>
      </w:r>
      <w:r w:rsidR="00EF39A8" w:rsidRPr="00BF77D4">
        <w:rPr>
          <w:rFonts w:ascii="Arial" w:hAnsi="Arial" w:cs="Arial"/>
          <w:noProof/>
          <w:color w:val="000000" w:themeColor="text1"/>
        </w:rPr>
        <w:t>legislative</w:t>
      </w:r>
      <w:r w:rsidR="005F308C" w:rsidRPr="00BF77D4">
        <w:rPr>
          <w:rFonts w:ascii="Arial" w:hAnsi="Arial" w:cs="Arial"/>
          <w:color w:val="000000" w:themeColor="text1"/>
        </w:rPr>
        <w:t xml:space="preserve"> staff</w:t>
      </w:r>
      <w:r w:rsidR="00AA5211" w:rsidRPr="00BF77D4">
        <w:rPr>
          <w:rFonts w:ascii="Arial" w:hAnsi="Arial" w:cs="Arial"/>
          <w:color w:val="000000" w:themeColor="text1"/>
        </w:rPr>
        <w:t xml:space="preserve"> </w:t>
      </w:r>
      <w:r w:rsidR="005F308C" w:rsidRPr="00BF77D4">
        <w:rPr>
          <w:rFonts w:ascii="Arial" w:hAnsi="Arial" w:cs="Arial"/>
          <w:color w:val="000000" w:themeColor="text1"/>
        </w:rPr>
        <w:t xml:space="preserve">by SBDC Program funded staff. </w:t>
      </w:r>
      <w:r w:rsidR="00FB40F0" w:rsidRPr="00BF77D4">
        <w:rPr>
          <w:rFonts w:ascii="Arial" w:hAnsi="Arial" w:cs="Arial"/>
          <w:noProof/>
          <w:color w:val="000000" w:themeColor="text1"/>
        </w:rPr>
        <w:t>L</w:t>
      </w:r>
      <w:r w:rsidR="00CA1F26" w:rsidRPr="00BF77D4">
        <w:rPr>
          <w:rFonts w:ascii="Arial" w:hAnsi="Arial" w:cs="Arial"/>
          <w:noProof/>
          <w:color w:val="000000" w:themeColor="text1"/>
        </w:rPr>
        <w:t>egislative</w:t>
      </w:r>
      <w:r w:rsidR="00CA1F26" w:rsidRPr="00BF77D4">
        <w:rPr>
          <w:rFonts w:ascii="Arial" w:hAnsi="Arial" w:cs="Arial"/>
          <w:color w:val="000000" w:themeColor="text1"/>
        </w:rPr>
        <w:t xml:space="preserve"> visit</w:t>
      </w:r>
      <w:r w:rsidR="00FB40F0" w:rsidRPr="00BF77D4">
        <w:rPr>
          <w:rFonts w:ascii="Arial" w:hAnsi="Arial" w:cs="Arial"/>
          <w:color w:val="000000" w:themeColor="text1"/>
        </w:rPr>
        <w:t>s entered into Neoserra</w:t>
      </w:r>
      <w:r w:rsidR="00CA1F26" w:rsidRPr="00BF77D4">
        <w:rPr>
          <w:rFonts w:ascii="Arial" w:hAnsi="Arial" w:cs="Arial"/>
          <w:color w:val="000000" w:themeColor="text1"/>
        </w:rPr>
        <w:t xml:space="preserve"> </w:t>
      </w:r>
      <w:r w:rsidR="00FB40F0" w:rsidRPr="00BF77D4">
        <w:rPr>
          <w:rFonts w:ascii="Arial" w:hAnsi="Arial" w:cs="Arial"/>
          <w:color w:val="000000" w:themeColor="text1"/>
        </w:rPr>
        <w:t>must outline</w:t>
      </w:r>
      <w:r w:rsidR="00CA1F26" w:rsidRPr="00BF77D4">
        <w:rPr>
          <w:rFonts w:ascii="Arial" w:hAnsi="Arial" w:cs="Arial"/>
          <w:color w:val="000000" w:themeColor="text1"/>
        </w:rPr>
        <w:t xml:space="preserve"> the date, location, legislator </w:t>
      </w:r>
      <w:r w:rsidR="00640DBE" w:rsidRPr="00BF77D4">
        <w:rPr>
          <w:rFonts w:ascii="Arial" w:hAnsi="Arial" w:cs="Arial"/>
          <w:color w:val="000000" w:themeColor="text1"/>
        </w:rPr>
        <w:t xml:space="preserve">or legislative staff </w:t>
      </w:r>
      <w:r w:rsidR="00CA1F26" w:rsidRPr="00BF77D4">
        <w:rPr>
          <w:rFonts w:ascii="Arial" w:hAnsi="Arial" w:cs="Arial"/>
          <w:color w:val="000000" w:themeColor="text1"/>
        </w:rPr>
        <w:t xml:space="preserve">name and </w:t>
      </w:r>
      <w:r w:rsidR="00FB40F0" w:rsidRPr="00BF77D4">
        <w:rPr>
          <w:rFonts w:ascii="Arial" w:hAnsi="Arial" w:cs="Arial"/>
          <w:color w:val="000000" w:themeColor="text1"/>
        </w:rPr>
        <w:t>description of the conversation.</w:t>
      </w:r>
    </w:p>
    <w:p w14:paraId="3C5F0712" w14:textId="7D85DBF9" w:rsidR="001221A9" w:rsidRPr="00BF77D4" w:rsidRDefault="001221A9" w:rsidP="001221A9">
      <w:pPr>
        <w:spacing w:line="240" w:lineRule="auto"/>
        <w:rPr>
          <w:rFonts w:ascii="Arial" w:hAnsi="Arial" w:cs="Arial"/>
          <w:color w:val="000000" w:themeColor="text1"/>
          <w:u w:val="single"/>
        </w:rPr>
      </w:pPr>
      <w:r w:rsidRPr="00BF77D4">
        <w:rPr>
          <w:rFonts w:ascii="Arial" w:hAnsi="Arial" w:cs="Arial"/>
          <w:b/>
          <w:noProof/>
          <w:color w:val="000000" w:themeColor="text1"/>
          <w:u w:val="single"/>
        </w:rPr>
        <w:t>Number</w:t>
      </w:r>
      <w:r w:rsidRPr="00BF77D4">
        <w:rPr>
          <w:rFonts w:ascii="Arial" w:hAnsi="Arial" w:cs="Arial"/>
          <w:b/>
          <w:color w:val="000000" w:themeColor="text1"/>
          <w:u w:val="single"/>
        </w:rPr>
        <w:t xml:space="preserve"> of </w:t>
      </w:r>
      <w:r w:rsidR="002F3FBA" w:rsidRPr="00BF77D4">
        <w:rPr>
          <w:rFonts w:ascii="Arial" w:hAnsi="Arial" w:cs="Arial"/>
          <w:b/>
          <w:color w:val="000000" w:themeColor="text1"/>
          <w:u w:val="single"/>
        </w:rPr>
        <w:t>third-party</w:t>
      </w:r>
      <w:r w:rsidRPr="00BF77D4">
        <w:rPr>
          <w:rFonts w:ascii="Arial" w:hAnsi="Arial" w:cs="Arial"/>
          <w:b/>
          <w:color w:val="000000" w:themeColor="text1"/>
          <w:u w:val="single"/>
        </w:rPr>
        <w:t xml:space="preserve"> endorsements</w:t>
      </w:r>
      <w:r w:rsidR="00CF0681" w:rsidRPr="00BF77D4">
        <w:rPr>
          <w:rFonts w:ascii="Arial" w:hAnsi="Arial" w:cs="Arial"/>
          <w:b/>
          <w:color w:val="000000" w:themeColor="text1"/>
        </w:rPr>
        <w:t>:</w:t>
      </w:r>
      <w:r w:rsidR="00CA1F26" w:rsidRPr="00BF77D4">
        <w:rPr>
          <w:rFonts w:ascii="Arial" w:hAnsi="Arial" w:cs="Arial"/>
          <w:color w:val="000000" w:themeColor="text1"/>
        </w:rPr>
        <w:t xml:space="preserve"> A third</w:t>
      </w:r>
      <w:r w:rsidR="002F3FBA" w:rsidRPr="00BF77D4">
        <w:rPr>
          <w:rFonts w:ascii="Arial" w:hAnsi="Arial" w:cs="Arial"/>
          <w:color w:val="000000" w:themeColor="text1"/>
        </w:rPr>
        <w:t>-</w:t>
      </w:r>
      <w:r w:rsidR="00CA1F26" w:rsidRPr="00BF77D4">
        <w:rPr>
          <w:rFonts w:ascii="Arial" w:hAnsi="Arial" w:cs="Arial"/>
          <w:color w:val="000000" w:themeColor="text1"/>
        </w:rPr>
        <w:t>pa</w:t>
      </w:r>
      <w:r w:rsidR="00F1083F" w:rsidRPr="00BF77D4">
        <w:rPr>
          <w:rFonts w:ascii="Arial" w:hAnsi="Arial" w:cs="Arial"/>
          <w:color w:val="000000" w:themeColor="text1"/>
        </w:rPr>
        <w:t>rty endorsement is any form of</w:t>
      </w:r>
      <w:r w:rsidR="00CA1F26" w:rsidRPr="00BF77D4">
        <w:rPr>
          <w:rFonts w:ascii="Arial" w:hAnsi="Arial" w:cs="Arial"/>
          <w:color w:val="000000" w:themeColor="text1"/>
        </w:rPr>
        <w:t xml:space="preserve"> written com</w:t>
      </w:r>
      <w:r w:rsidR="005F308C" w:rsidRPr="00BF77D4">
        <w:rPr>
          <w:rFonts w:ascii="Arial" w:hAnsi="Arial" w:cs="Arial"/>
          <w:color w:val="000000" w:themeColor="text1"/>
        </w:rPr>
        <w:t>munication about the NM</w:t>
      </w:r>
      <w:r w:rsidR="00CA1F26" w:rsidRPr="00BF77D4">
        <w:rPr>
          <w:rFonts w:ascii="Arial" w:hAnsi="Arial" w:cs="Arial"/>
          <w:color w:val="000000" w:themeColor="text1"/>
        </w:rPr>
        <w:t>SBDC program that is sent directly to a stakeholder</w:t>
      </w:r>
      <w:r w:rsidR="00A748AD" w:rsidRPr="00BF77D4">
        <w:rPr>
          <w:rFonts w:ascii="Arial" w:hAnsi="Arial" w:cs="Arial"/>
          <w:color w:val="000000" w:themeColor="text1"/>
        </w:rPr>
        <w:t xml:space="preserve"> or to the Lead Center</w:t>
      </w:r>
      <w:r w:rsidR="005F308C" w:rsidRPr="00BF77D4">
        <w:rPr>
          <w:rFonts w:ascii="Arial" w:hAnsi="Arial" w:cs="Arial"/>
          <w:color w:val="000000" w:themeColor="text1"/>
        </w:rPr>
        <w:t xml:space="preserve"> by an SBDC client or SBDC p</w:t>
      </w:r>
      <w:r w:rsidR="00CA1F26" w:rsidRPr="00BF77D4">
        <w:rPr>
          <w:rFonts w:ascii="Arial" w:hAnsi="Arial" w:cs="Arial"/>
          <w:color w:val="000000" w:themeColor="text1"/>
        </w:rPr>
        <w:t>artner.</w:t>
      </w:r>
    </w:p>
    <w:p w14:paraId="249F1BE0" w14:textId="1591783E" w:rsidR="00EF39A8" w:rsidRPr="00BF77D4" w:rsidRDefault="001221A9" w:rsidP="001221A9">
      <w:pPr>
        <w:spacing w:line="240" w:lineRule="auto"/>
        <w:rPr>
          <w:rFonts w:ascii="Arial" w:hAnsi="Arial" w:cs="Arial"/>
          <w:color w:val="000000" w:themeColor="text1"/>
        </w:rPr>
      </w:pPr>
      <w:r w:rsidRPr="00BF77D4">
        <w:rPr>
          <w:rFonts w:ascii="Arial" w:hAnsi="Arial" w:cs="Arial"/>
          <w:b/>
          <w:noProof/>
          <w:color w:val="000000" w:themeColor="text1"/>
          <w:u w:val="single"/>
        </w:rPr>
        <w:lastRenderedPageBreak/>
        <w:t>Number</w:t>
      </w:r>
      <w:r w:rsidR="00A32121" w:rsidRPr="00BF77D4">
        <w:rPr>
          <w:rFonts w:ascii="Arial" w:hAnsi="Arial" w:cs="Arial"/>
          <w:b/>
          <w:color w:val="000000" w:themeColor="text1"/>
          <w:u w:val="single"/>
        </w:rPr>
        <w:t xml:space="preserve"> of m</w:t>
      </w:r>
      <w:r w:rsidRPr="00BF77D4">
        <w:rPr>
          <w:rFonts w:ascii="Arial" w:hAnsi="Arial" w:cs="Arial"/>
          <w:b/>
          <w:color w:val="000000" w:themeColor="text1"/>
          <w:u w:val="single"/>
        </w:rPr>
        <w:t>edia exposures</w:t>
      </w:r>
      <w:r w:rsidR="00CF0681" w:rsidRPr="00BF77D4">
        <w:rPr>
          <w:rFonts w:ascii="Arial" w:hAnsi="Arial" w:cs="Arial"/>
          <w:b/>
          <w:color w:val="000000" w:themeColor="text1"/>
          <w:u w:val="single"/>
        </w:rPr>
        <w:t>:</w:t>
      </w:r>
      <w:r w:rsidR="00CA1F26" w:rsidRPr="00BF77D4">
        <w:rPr>
          <w:rFonts w:ascii="Arial" w:hAnsi="Arial" w:cs="Arial"/>
          <w:color w:val="000000" w:themeColor="text1"/>
        </w:rPr>
        <w:t xml:space="preserve"> A media exposure is any form of published communication </w:t>
      </w:r>
      <w:r w:rsidR="007930CD" w:rsidRPr="00BF77D4">
        <w:rPr>
          <w:rFonts w:ascii="Arial" w:hAnsi="Arial" w:cs="Arial"/>
          <w:color w:val="000000" w:themeColor="text1"/>
        </w:rPr>
        <w:t xml:space="preserve">such as </w:t>
      </w:r>
      <w:r w:rsidR="00AA5211" w:rsidRPr="00BF77D4">
        <w:rPr>
          <w:rFonts w:ascii="Arial" w:hAnsi="Arial" w:cs="Arial"/>
          <w:color w:val="000000" w:themeColor="text1"/>
        </w:rPr>
        <w:t xml:space="preserve">TV, </w:t>
      </w:r>
      <w:r w:rsidR="007930CD" w:rsidRPr="00BF77D4">
        <w:rPr>
          <w:rFonts w:ascii="Arial" w:hAnsi="Arial" w:cs="Arial"/>
          <w:color w:val="000000" w:themeColor="text1"/>
        </w:rPr>
        <w:t>ra</w:t>
      </w:r>
      <w:r w:rsidR="00BB5186" w:rsidRPr="00BF77D4">
        <w:rPr>
          <w:rFonts w:ascii="Arial" w:hAnsi="Arial" w:cs="Arial"/>
          <w:color w:val="000000" w:themeColor="text1"/>
        </w:rPr>
        <w:t xml:space="preserve">dio, newspaper, online article and/or social media, </w:t>
      </w:r>
      <w:r w:rsidR="007930CD" w:rsidRPr="00BF77D4">
        <w:rPr>
          <w:rFonts w:ascii="Arial" w:hAnsi="Arial" w:cs="Arial"/>
          <w:color w:val="000000" w:themeColor="text1"/>
        </w:rPr>
        <w:t xml:space="preserve">chamber of </w:t>
      </w:r>
      <w:r w:rsidR="00BB5186" w:rsidRPr="00BF77D4">
        <w:rPr>
          <w:rFonts w:ascii="Arial" w:hAnsi="Arial" w:cs="Arial"/>
          <w:color w:val="000000" w:themeColor="text1"/>
        </w:rPr>
        <w:t xml:space="preserve">commerce or college newsletter, </w:t>
      </w:r>
      <w:r w:rsidR="007930CD" w:rsidRPr="00BF77D4">
        <w:rPr>
          <w:rFonts w:ascii="Arial" w:hAnsi="Arial" w:cs="Arial"/>
          <w:color w:val="000000" w:themeColor="text1"/>
        </w:rPr>
        <w:t>etc. with the pot</w:t>
      </w:r>
      <w:r w:rsidR="005F308C" w:rsidRPr="00BF77D4">
        <w:rPr>
          <w:rFonts w:ascii="Arial" w:hAnsi="Arial" w:cs="Arial"/>
          <w:color w:val="000000" w:themeColor="text1"/>
        </w:rPr>
        <w:t>ential to expose the NM</w:t>
      </w:r>
      <w:r w:rsidR="007930CD" w:rsidRPr="00BF77D4">
        <w:rPr>
          <w:rFonts w:ascii="Arial" w:hAnsi="Arial" w:cs="Arial"/>
          <w:color w:val="000000" w:themeColor="text1"/>
        </w:rPr>
        <w:t>SBDC brand to stakeholders, partners</w:t>
      </w:r>
      <w:r w:rsidR="00640DBE" w:rsidRPr="00BF77D4">
        <w:rPr>
          <w:rFonts w:ascii="Arial" w:hAnsi="Arial" w:cs="Arial"/>
          <w:color w:val="000000" w:themeColor="text1"/>
        </w:rPr>
        <w:t xml:space="preserve">, </w:t>
      </w:r>
      <w:r w:rsidR="007930CD" w:rsidRPr="00BF77D4">
        <w:rPr>
          <w:rFonts w:ascii="Arial" w:hAnsi="Arial" w:cs="Arial"/>
          <w:color w:val="000000" w:themeColor="text1"/>
        </w:rPr>
        <w:t>potential clients</w:t>
      </w:r>
      <w:r w:rsidR="00640DBE" w:rsidRPr="00BF77D4">
        <w:rPr>
          <w:rFonts w:ascii="Arial" w:hAnsi="Arial" w:cs="Arial"/>
          <w:color w:val="000000" w:themeColor="text1"/>
        </w:rPr>
        <w:t xml:space="preserve"> or the community</w:t>
      </w:r>
      <w:r w:rsidR="007930CD" w:rsidRPr="00BF77D4">
        <w:rPr>
          <w:rFonts w:ascii="Arial" w:hAnsi="Arial" w:cs="Arial"/>
          <w:color w:val="000000" w:themeColor="text1"/>
        </w:rPr>
        <w:t xml:space="preserve">. </w:t>
      </w:r>
      <w:r w:rsidR="002B7842" w:rsidRPr="00BF77D4">
        <w:rPr>
          <w:rFonts w:ascii="Arial" w:hAnsi="Arial" w:cs="Arial"/>
          <w:color w:val="000000" w:themeColor="text1"/>
        </w:rPr>
        <w:t xml:space="preserve">To keep our measurement </w:t>
      </w:r>
      <w:r w:rsidR="00BB5186" w:rsidRPr="00BF77D4">
        <w:rPr>
          <w:rFonts w:ascii="Arial" w:hAnsi="Arial" w:cs="Arial"/>
          <w:color w:val="000000" w:themeColor="text1"/>
        </w:rPr>
        <w:t xml:space="preserve">aligned </w:t>
      </w:r>
      <w:r w:rsidR="002B7842" w:rsidRPr="00BF77D4">
        <w:rPr>
          <w:rFonts w:ascii="Arial" w:hAnsi="Arial" w:cs="Arial"/>
          <w:color w:val="000000" w:themeColor="text1"/>
        </w:rPr>
        <w:t>with</w:t>
      </w:r>
      <w:r w:rsidR="005F308C" w:rsidRPr="00BF77D4">
        <w:rPr>
          <w:rFonts w:ascii="Arial" w:hAnsi="Arial" w:cs="Arial"/>
          <w:color w:val="000000" w:themeColor="text1"/>
        </w:rPr>
        <w:t xml:space="preserve"> WIG 2</w:t>
      </w:r>
      <w:r w:rsidR="00A748AD" w:rsidRPr="00BF77D4">
        <w:rPr>
          <w:rFonts w:ascii="Arial" w:hAnsi="Arial" w:cs="Arial"/>
          <w:color w:val="000000" w:themeColor="text1"/>
        </w:rPr>
        <w:t xml:space="preserve">, in the interim, </w:t>
      </w:r>
      <w:r w:rsidR="002B7842" w:rsidRPr="00BF77D4">
        <w:rPr>
          <w:rFonts w:ascii="Arial" w:hAnsi="Arial" w:cs="Arial"/>
          <w:color w:val="000000" w:themeColor="text1"/>
        </w:rPr>
        <w:t>and what we are trying to accomplish</w:t>
      </w:r>
      <w:r w:rsidR="00BB5186" w:rsidRPr="00BF77D4">
        <w:rPr>
          <w:rFonts w:ascii="Arial" w:hAnsi="Arial" w:cs="Arial"/>
          <w:color w:val="000000" w:themeColor="text1"/>
        </w:rPr>
        <w:t>,</w:t>
      </w:r>
      <w:r w:rsidR="002B7842" w:rsidRPr="00BF77D4">
        <w:rPr>
          <w:rFonts w:ascii="Arial" w:hAnsi="Arial" w:cs="Arial"/>
          <w:color w:val="000000" w:themeColor="text1"/>
        </w:rPr>
        <w:t xml:space="preserve"> </w:t>
      </w:r>
      <w:r w:rsidR="005F308C" w:rsidRPr="00BF77D4">
        <w:rPr>
          <w:rFonts w:ascii="Arial" w:hAnsi="Arial" w:cs="Arial"/>
          <w:color w:val="000000" w:themeColor="text1"/>
        </w:rPr>
        <w:t>SBDC Service C</w:t>
      </w:r>
      <w:r w:rsidR="007930CD" w:rsidRPr="00BF77D4">
        <w:rPr>
          <w:rFonts w:ascii="Arial" w:hAnsi="Arial" w:cs="Arial"/>
          <w:color w:val="000000" w:themeColor="text1"/>
        </w:rPr>
        <w:t>enter newsletters</w:t>
      </w:r>
      <w:r w:rsidR="002B7842" w:rsidRPr="00BF77D4">
        <w:rPr>
          <w:rFonts w:ascii="Arial" w:hAnsi="Arial" w:cs="Arial"/>
          <w:color w:val="000000" w:themeColor="text1"/>
        </w:rPr>
        <w:t xml:space="preserve"> sent to </w:t>
      </w:r>
      <w:r w:rsidR="007930CD" w:rsidRPr="00BF77D4">
        <w:rPr>
          <w:rFonts w:ascii="Arial" w:hAnsi="Arial" w:cs="Arial"/>
          <w:color w:val="000000" w:themeColor="text1"/>
        </w:rPr>
        <w:t>existing clients</w:t>
      </w:r>
      <w:r w:rsidR="00BB5186" w:rsidRPr="00BF77D4">
        <w:rPr>
          <w:rFonts w:ascii="Arial" w:hAnsi="Arial" w:cs="Arial"/>
          <w:color w:val="000000" w:themeColor="text1"/>
        </w:rPr>
        <w:t>,</w:t>
      </w:r>
      <w:r w:rsidR="007930CD" w:rsidRPr="00BF77D4">
        <w:rPr>
          <w:rFonts w:ascii="Arial" w:hAnsi="Arial" w:cs="Arial"/>
          <w:color w:val="000000" w:themeColor="text1"/>
        </w:rPr>
        <w:t xml:space="preserve"> </w:t>
      </w:r>
      <w:r w:rsidR="00BB5186" w:rsidRPr="00BF77D4">
        <w:rPr>
          <w:rFonts w:ascii="Arial" w:hAnsi="Arial" w:cs="Arial"/>
          <w:color w:val="000000" w:themeColor="text1"/>
        </w:rPr>
        <w:t>will not be counted toward media exposures</w:t>
      </w:r>
      <w:r w:rsidR="002B7842" w:rsidRPr="00BF77D4">
        <w:rPr>
          <w:rFonts w:ascii="Arial" w:hAnsi="Arial" w:cs="Arial"/>
          <w:color w:val="000000" w:themeColor="text1"/>
        </w:rPr>
        <w:t>.</w:t>
      </w:r>
      <w:r w:rsidR="00217E91" w:rsidRPr="00BF77D4">
        <w:rPr>
          <w:rFonts w:ascii="Arial" w:hAnsi="Arial" w:cs="Arial"/>
          <w:color w:val="000000" w:themeColor="text1"/>
        </w:rPr>
        <w:t xml:space="preserve"> </w:t>
      </w:r>
      <w:r w:rsidR="00BB5186" w:rsidRPr="00BF77D4">
        <w:rPr>
          <w:rFonts w:ascii="Arial" w:hAnsi="Arial" w:cs="Arial"/>
          <w:noProof/>
          <w:color w:val="000000" w:themeColor="text1"/>
        </w:rPr>
        <w:t xml:space="preserve">A </w:t>
      </w:r>
      <w:r w:rsidR="00217E91" w:rsidRPr="00BF77D4">
        <w:rPr>
          <w:rFonts w:ascii="Arial" w:hAnsi="Arial" w:cs="Arial"/>
          <w:noProof/>
          <w:color w:val="000000" w:themeColor="text1"/>
        </w:rPr>
        <w:t>media exposure must use one of the following exact terms to be counted towards our measure: “New Mexico Small Business Development Center” or “New Mexico Small Business Development Centers” or “New Mexico Small Business Development Center Network” or “New Mexico SBDC”</w:t>
      </w:r>
      <w:r w:rsidR="00DB283B" w:rsidRPr="00BF77D4">
        <w:rPr>
          <w:rFonts w:ascii="Arial" w:hAnsi="Arial" w:cs="Arial"/>
          <w:noProof/>
          <w:color w:val="000000" w:themeColor="text1"/>
        </w:rPr>
        <w:t xml:space="preserve"> or </w:t>
      </w:r>
      <w:r w:rsidR="00F75E12" w:rsidRPr="00BF77D4">
        <w:rPr>
          <w:rFonts w:ascii="Arial" w:hAnsi="Arial" w:cs="Arial"/>
          <w:noProof/>
          <w:color w:val="000000" w:themeColor="text1"/>
        </w:rPr>
        <w:t xml:space="preserve">“Small Business Development Center” or </w:t>
      </w:r>
      <w:r w:rsidR="001D0A00" w:rsidRPr="00BF77D4">
        <w:rPr>
          <w:rFonts w:ascii="Arial" w:hAnsi="Arial" w:cs="Arial"/>
          <w:noProof/>
          <w:color w:val="000000" w:themeColor="text1"/>
        </w:rPr>
        <w:t xml:space="preserve">“SBDC @ </w:t>
      </w:r>
      <w:r w:rsidR="00DB283B" w:rsidRPr="00BF77D4">
        <w:rPr>
          <w:rFonts w:ascii="Arial" w:hAnsi="Arial" w:cs="Arial"/>
          <w:noProof/>
          <w:color w:val="000000" w:themeColor="text1"/>
        </w:rPr>
        <w:t>Your center name”</w:t>
      </w:r>
      <w:r w:rsidR="00FB40F0" w:rsidRPr="00BF77D4">
        <w:rPr>
          <w:rFonts w:ascii="Arial" w:hAnsi="Arial" w:cs="Arial"/>
          <w:noProof/>
          <w:color w:val="000000" w:themeColor="text1"/>
        </w:rPr>
        <w:t>.</w:t>
      </w:r>
      <w:r w:rsidR="00AA5211" w:rsidRPr="00BF77D4">
        <w:rPr>
          <w:rFonts w:ascii="Arial" w:hAnsi="Arial" w:cs="Arial"/>
          <w:color w:val="000000" w:themeColor="text1"/>
        </w:rPr>
        <w:t xml:space="preserve"> A media exposure should be entered for each</w:t>
      </w:r>
      <w:r w:rsidR="001222EA" w:rsidRPr="00BF77D4">
        <w:rPr>
          <w:rFonts w:ascii="Arial" w:hAnsi="Arial" w:cs="Arial"/>
          <w:color w:val="000000" w:themeColor="text1"/>
        </w:rPr>
        <w:t xml:space="preserve"> publisher, for example, if the same story is covered in two different newspapers, two media exposures should be entered.</w:t>
      </w:r>
    </w:p>
    <w:p w14:paraId="06FD2E28" w14:textId="08FFE5B3" w:rsidR="007930CD" w:rsidRPr="00BF77D4" w:rsidRDefault="00F1083F" w:rsidP="001221A9">
      <w:pPr>
        <w:spacing w:line="240" w:lineRule="auto"/>
        <w:rPr>
          <w:rFonts w:ascii="Arial" w:hAnsi="Arial" w:cs="Arial"/>
          <w:color w:val="000000" w:themeColor="text1"/>
        </w:rPr>
      </w:pPr>
      <w:r w:rsidRPr="00BF77D4">
        <w:rPr>
          <w:rFonts w:ascii="Arial" w:hAnsi="Arial" w:cs="Arial"/>
          <w:b/>
          <w:color w:val="000000" w:themeColor="text1"/>
          <w:u w:val="single"/>
        </w:rPr>
        <w:t>Number of community presentations</w:t>
      </w:r>
      <w:r w:rsidRPr="00BF77D4">
        <w:rPr>
          <w:rFonts w:ascii="Arial" w:hAnsi="Arial" w:cs="Arial"/>
          <w:color w:val="000000" w:themeColor="text1"/>
        </w:rPr>
        <w:t xml:space="preserve">: </w:t>
      </w:r>
      <w:r w:rsidR="00640DBE" w:rsidRPr="00BF77D4">
        <w:rPr>
          <w:rFonts w:ascii="Arial" w:hAnsi="Arial" w:cs="Arial"/>
          <w:color w:val="000000" w:themeColor="text1"/>
        </w:rPr>
        <w:t>P</w:t>
      </w:r>
      <w:r w:rsidR="00EF39A8" w:rsidRPr="00BF77D4">
        <w:rPr>
          <w:rFonts w:ascii="Arial" w:hAnsi="Arial" w:cs="Arial"/>
          <w:color w:val="000000" w:themeColor="text1"/>
        </w:rPr>
        <w:t>resentations to groups</w:t>
      </w:r>
      <w:r w:rsidR="00B36D4D" w:rsidRPr="00BF77D4">
        <w:rPr>
          <w:rFonts w:ascii="Arial" w:hAnsi="Arial" w:cs="Arial"/>
          <w:color w:val="000000" w:themeColor="text1"/>
        </w:rPr>
        <w:t xml:space="preserve"> </w:t>
      </w:r>
      <w:r w:rsidR="00EF39A8" w:rsidRPr="00BF77D4">
        <w:rPr>
          <w:rFonts w:ascii="Arial" w:hAnsi="Arial" w:cs="Arial"/>
          <w:color w:val="000000" w:themeColor="text1"/>
        </w:rPr>
        <w:t>such as</w:t>
      </w:r>
      <w:r w:rsidR="00A748AD" w:rsidRPr="00BF77D4">
        <w:rPr>
          <w:rFonts w:ascii="Arial" w:hAnsi="Arial" w:cs="Arial"/>
          <w:color w:val="000000" w:themeColor="text1"/>
        </w:rPr>
        <w:t>, but not limited to,</w:t>
      </w:r>
      <w:r w:rsidR="00EF39A8" w:rsidRPr="00BF77D4">
        <w:rPr>
          <w:rFonts w:ascii="Arial" w:hAnsi="Arial" w:cs="Arial"/>
          <w:color w:val="000000" w:themeColor="text1"/>
        </w:rPr>
        <w:t xml:space="preserve"> chambers, area legislative bodies and legislative committee </w:t>
      </w:r>
      <w:r w:rsidRPr="00BF77D4">
        <w:rPr>
          <w:rFonts w:ascii="Arial" w:hAnsi="Arial" w:cs="Arial"/>
          <w:color w:val="000000" w:themeColor="text1"/>
        </w:rPr>
        <w:t>testimony.</w:t>
      </w:r>
      <w:r w:rsidR="0095217E" w:rsidRPr="00BF77D4">
        <w:rPr>
          <w:rFonts w:ascii="Arial" w:hAnsi="Arial" w:cs="Arial"/>
          <w:color w:val="000000" w:themeColor="text1"/>
        </w:rPr>
        <w:t xml:space="preserve">  Uploading the meeting agenda and/or the actual presentation to Neoserra is required to be counted as a community presentation. </w:t>
      </w:r>
    </w:p>
    <w:p w14:paraId="0D97F4AF" w14:textId="37F8C075" w:rsidR="007C7F91" w:rsidRPr="00BF77D4" w:rsidRDefault="00611B71" w:rsidP="006D01E6">
      <w:pPr>
        <w:spacing w:after="0" w:line="240" w:lineRule="auto"/>
        <w:rPr>
          <w:rFonts w:ascii="Arial" w:hAnsi="Arial" w:cs="Arial"/>
          <w:color w:val="000000" w:themeColor="text1"/>
          <w:sz w:val="23"/>
          <w:szCs w:val="23"/>
        </w:rPr>
      </w:pPr>
      <w:r w:rsidRPr="00BF77D4">
        <w:rPr>
          <w:rFonts w:ascii="Arial" w:hAnsi="Arial" w:cs="Arial"/>
          <w:b/>
          <w:color w:val="000000" w:themeColor="text1"/>
          <w:sz w:val="23"/>
          <w:szCs w:val="23"/>
          <w:u w:val="single"/>
        </w:rPr>
        <w:t>NMSBDC c</w:t>
      </w:r>
      <w:r w:rsidR="0040125C" w:rsidRPr="00BF77D4">
        <w:rPr>
          <w:rFonts w:ascii="Arial" w:hAnsi="Arial" w:cs="Arial"/>
          <w:b/>
          <w:color w:val="000000" w:themeColor="text1"/>
          <w:sz w:val="23"/>
          <w:szCs w:val="23"/>
          <w:u w:val="single"/>
        </w:rPr>
        <w:t xml:space="preserve">lient </w:t>
      </w:r>
      <w:r w:rsidR="00FD05B4" w:rsidRPr="00BF77D4">
        <w:rPr>
          <w:rFonts w:ascii="Arial" w:hAnsi="Arial" w:cs="Arial"/>
          <w:b/>
          <w:color w:val="000000" w:themeColor="text1"/>
          <w:sz w:val="23"/>
          <w:szCs w:val="23"/>
          <w:u w:val="single"/>
        </w:rPr>
        <w:t>satisfaction level</w:t>
      </w:r>
      <w:r w:rsidR="0040125C" w:rsidRPr="00BF77D4">
        <w:rPr>
          <w:rFonts w:ascii="Arial" w:hAnsi="Arial" w:cs="Arial"/>
          <w:color w:val="000000" w:themeColor="text1"/>
          <w:sz w:val="23"/>
          <w:szCs w:val="23"/>
        </w:rPr>
        <w:t xml:space="preserve">: The </w:t>
      </w:r>
      <w:r w:rsidR="00FD05B4" w:rsidRPr="00BF77D4">
        <w:rPr>
          <w:rFonts w:ascii="Arial" w:hAnsi="Arial" w:cs="Arial"/>
          <w:color w:val="000000" w:themeColor="text1"/>
          <w:sz w:val="23"/>
          <w:szCs w:val="23"/>
        </w:rPr>
        <w:t xml:space="preserve">client satisfaction level as identified by the Lead Center methodology </w:t>
      </w:r>
      <w:r w:rsidR="002F3FBA" w:rsidRPr="00BF77D4">
        <w:rPr>
          <w:rFonts w:ascii="Arial" w:hAnsi="Arial" w:cs="Arial"/>
          <w:color w:val="000000" w:themeColor="text1"/>
          <w:sz w:val="23"/>
          <w:szCs w:val="23"/>
        </w:rPr>
        <w:t>e.g.,</w:t>
      </w:r>
      <w:r w:rsidR="00FD05B4" w:rsidRPr="00BF77D4">
        <w:rPr>
          <w:rFonts w:ascii="Arial" w:hAnsi="Arial" w:cs="Arial"/>
          <w:color w:val="000000" w:themeColor="text1"/>
          <w:sz w:val="23"/>
          <w:szCs w:val="23"/>
        </w:rPr>
        <w:t xml:space="preserve"> surveys, Neoserra data and listening posts. </w:t>
      </w:r>
    </w:p>
    <w:p w14:paraId="700F5033" w14:textId="77777777" w:rsidR="006D01E6" w:rsidRPr="00BF77D4" w:rsidRDefault="006D01E6" w:rsidP="006D01E6">
      <w:pPr>
        <w:spacing w:after="0" w:line="240" w:lineRule="auto"/>
        <w:rPr>
          <w:rFonts w:ascii="Arial" w:hAnsi="Arial" w:cs="Arial"/>
          <w:color w:val="000000" w:themeColor="text1"/>
        </w:rPr>
      </w:pPr>
    </w:p>
    <w:p w14:paraId="5791C7D3" w14:textId="71056C9A" w:rsidR="00383BE2" w:rsidRPr="00BF77D4" w:rsidRDefault="00383BE2" w:rsidP="006D01E6">
      <w:pPr>
        <w:spacing w:line="240" w:lineRule="auto"/>
        <w:jc w:val="center"/>
        <w:rPr>
          <w:rFonts w:ascii="Arial" w:hAnsi="Arial" w:cs="Arial"/>
          <w:color w:val="000000" w:themeColor="text1"/>
        </w:rPr>
      </w:pPr>
      <w:r w:rsidRPr="00BF77D4">
        <w:rPr>
          <w:rFonts w:ascii="Arial" w:hAnsi="Arial" w:cs="Arial"/>
          <w:color w:val="000000" w:themeColor="text1"/>
        </w:rPr>
        <w:t xml:space="preserve">Further explanation of words </w:t>
      </w:r>
      <w:r w:rsidR="007C7F91" w:rsidRPr="00BF77D4">
        <w:rPr>
          <w:rFonts w:ascii="Arial" w:hAnsi="Arial" w:cs="Arial"/>
          <w:color w:val="000000" w:themeColor="text1"/>
        </w:rPr>
        <w:t xml:space="preserve">that are included </w:t>
      </w:r>
      <w:r w:rsidRPr="00BF77D4">
        <w:rPr>
          <w:rFonts w:ascii="Arial" w:hAnsi="Arial" w:cs="Arial"/>
          <w:color w:val="000000" w:themeColor="text1"/>
        </w:rPr>
        <w:t>with</w:t>
      </w:r>
      <w:r w:rsidR="007C7F91" w:rsidRPr="00BF77D4">
        <w:rPr>
          <w:rFonts w:ascii="Arial" w:hAnsi="Arial" w:cs="Arial"/>
          <w:color w:val="000000" w:themeColor="text1"/>
        </w:rPr>
        <w:t>in</w:t>
      </w:r>
      <w:r w:rsidRPr="00BF77D4">
        <w:rPr>
          <w:rFonts w:ascii="Arial" w:hAnsi="Arial" w:cs="Arial"/>
          <w:color w:val="000000" w:themeColor="text1"/>
        </w:rPr>
        <w:t xml:space="preserve"> th</w:t>
      </w:r>
      <w:r w:rsidR="00956D14" w:rsidRPr="00BF77D4">
        <w:rPr>
          <w:rFonts w:ascii="Arial" w:hAnsi="Arial" w:cs="Arial"/>
          <w:color w:val="000000" w:themeColor="text1"/>
        </w:rPr>
        <w:t>is</w:t>
      </w:r>
      <w:r w:rsidRPr="00BF77D4">
        <w:rPr>
          <w:rFonts w:ascii="Arial" w:hAnsi="Arial" w:cs="Arial"/>
          <w:color w:val="000000" w:themeColor="text1"/>
        </w:rPr>
        <w:t xml:space="preserve"> document:</w:t>
      </w:r>
    </w:p>
    <w:p w14:paraId="3FAFD180" w14:textId="77777777" w:rsidR="00DD7FE6" w:rsidRPr="00BF77D4" w:rsidRDefault="00DD7FE6" w:rsidP="00DD7FE6">
      <w:pPr>
        <w:spacing w:line="240" w:lineRule="auto"/>
        <w:rPr>
          <w:rFonts w:ascii="Arial" w:hAnsi="Arial" w:cs="Arial"/>
          <w:color w:val="000000" w:themeColor="text1"/>
        </w:rPr>
      </w:pPr>
      <w:r w:rsidRPr="00BF77D4">
        <w:rPr>
          <w:rFonts w:ascii="Arial" w:hAnsi="Arial" w:cs="Arial"/>
          <w:b/>
          <w:color w:val="000000" w:themeColor="text1"/>
          <w:u w:val="single"/>
        </w:rPr>
        <w:t>Client Economic Impact Report</w:t>
      </w:r>
      <w:r w:rsidRPr="00BF77D4">
        <w:rPr>
          <w:rFonts w:ascii="Arial" w:hAnsi="Arial" w:cs="Arial"/>
          <w:color w:val="000000" w:themeColor="text1"/>
        </w:rPr>
        <w:t xml:space="preserve">: The paper report that the NMSBDC Program uses to prove to stakeholders that the economic impact we reported </w:t>
      </w:r>
      <w:r w:rsidRPr="00BF77D4">
        <w:rPr>
          <w:rFonts w:ascii="Arial" w:hAnsi="Arial" w:cs="Arial"/>
          <w:noProof/>
          <w:color w:val="000000" w:themeColor="text1"/>
        </w:rPr>
        <w:t>actually</w:t>
      </w:r>
      <w:r w:rsidRPr="00BF77D4">
        <w:rPr>
          <w:rFonts w:ascii="Arial" w:hAnsi="Arial" w:cs="Arial"/>
          <w:color w:val="000000" w:themeColor="text1"/>
        </w:rPr>
        <w:t xml:space="preserve"> occurred and was attributed to NMSBDC Program’s assistance. </w:t>
      </w:r>
      <w:r w:rsidRPr="00BF77D4">
        <w:rPr>
          <w:rFonts w:ascii="Arial" w:hAnsi="Arial" w:cs="Arial"/>
          <w:noProof/>
          <w:color w:val="000000" w:themeColor="text1"/>
        </w:rPr>
        <w:t>Reports</w:t>
      </w:r>
      <w:r w:rsidRPr="00BF77D4">
        <w:rPr>
          <w:rFonts w:ascii="Arial" w:hAnsi="Arial" w:cs="Arial"/>
          <w:color w:val="000000" w:themeColor="text1"/>
        </w:rPr>
        <w:t xml:space="preserve"> </w:t>
      </w:r>
      <w:r w:rsidRPr="00BF77D4">
        <w:rPr>
          <w:rFonts w:ascii="Arial" w:hAnsi="Arial" w:cs="Arial"/>
          <w:noProof/>
          <w:color w:val="000000" w:themeColor="text1"/>
        </w:rPr>
        <w:t>are not seen</w:t>
      </w:r>
      <w:r w:rsidRPr="00BF77D4">
        <w:rPr>
          <w:rFonts w:ascii="Arial" w:hAnsi="Arial" w:cs="Arial"/>
          <w:color w:val="000000" w:themeColor="text1"/>
        </w:rPr>
        <w:t xml:space="preserve"> by stakeholders but serve as verification tool in the case of a programmatic audit. In cases where obtaining a physical signed report is not possible an email from the client stating that the impact has occurred as a result of NMSBDC Program assistance will be accepted. In rare cases where obtaining a physical signed report or email verification is not possible, an email from the NMSBDC Executive State Director indicating that the impact </w:t>
      </w:r>
      <w:r w:rsidRPr="00BF77D4">
        <w:rPr>
          <w:rFonts w:ascii="Arial" w:hAnsi="Arial" w:cs="Arial"/>
          <w:noProof/>
          <w:color w:val="000000" w:themeColor="text1"/>
        </w:rPr>
        <w:t>actually</w:t>
      </w:r>
      <w:r w:rsidRPr="00BF77D4">
        <w:rPr>
          <w:rFonts w:ascii="Arial" w:hAnsi="Arial" w:cs="Arial"/>
          <w:color w:val="000000" w:themeColor="text1"/>
        </w:rPr>
        <w:t xml:space="preserve"> occurred, will be accepted. Client Economic Impact Reports must be attached to each milestone or investment within Neoserra.</w:t>
      </w:r>
    </w:p>
    <w:p w14:paraId="1CBFD1CF" w14:textId="4DFC02CE" w:rsidR="005C307E" w:rsidRPr="00BF77D4" w:rsidRDefault="005C307E" w:rsidP="006D01E6">
      <w:pPr>
        <w:spacing w:line="240" w:lineRule="auto"/>
        <w:rPr>
          <w:rFonts w:ascii="Arial" w:hAnsi="Arial" w:cs="Arial"/>
          <w:color w:val="000000" w:themeColor="text1"/>
        </w:rPr>
      </w:pPr>
      <w:r w:rsidRPr="00BF77D4">
        <w:rPr>
          <w:rFonts w:ascii="Arial" w:hAnsi="Arial" w:cs="Arial"/>
          <w:b/>
          <w:color w:val="000000" w:themeColor="text1"/>
          <w:u w:val="single"/>
        </w:rPr>
        <w:t>Measures</w:t>
      </w:r>
      <w:r w:rsidRPr="00BF77D4">
        <w:rPr>
          <w:rFonts w:ascii="Arial" w:hAnsi="Arial" w:cs="Arial"/>
          <w:color w:val="000000" w:themeColor="text1"/>
        </w:rPr>
        <w:t xml:space="preserve">: A measure is an amount or degree of something. Measures are the indicators the NMSBDC Program tracks to identify if we are moving toward our Wildly Important Goals (WIG’s) or away from them. It is very important to remember that the measures are not the WIG’s.  Measures are neither good nor bad, they </w:t>
      </w:r>
      <w:r w:rsidRPr="00BF77D4">
        <w:rPr>
          <w:rFonts w:ascii="Arial" w:hAnsi="Arial" w:cs="Arial"/>
          <w:noProof/>
          <w:color w:val="000000" w:themeColor="text1"/>
        </w:rPr>
        <w:t>simply</w:t>
      </w:r>
      <w:r w:rsidRPr="00BF77D4">
        <w:rPr>
          <w:rFonts w:ascii="Arial" w:hAnsi="Arial" w:cs="Arial"/>
          <w:color w:val="000000" w:themeColor="text1"/>
        </w:rPr>
        <w:t xml:space="preserve"> indicate </w:t>
      </w:r>
      <w:r w:rsidRPr="00BF77D4">
        <w:rPr>
          <w:rFonts w:ascii="Arial" w:hAnsi="Arial" w:cs="Arial"/>
          <w:noProof/>
          <w:color w:val="000000" w:themeColor="text1"/>
        </w:rPr>
        <w:t>direction</w:t>
      </w:r>
      <w:r w:rsidRPr="00BF77D4">
        <w:rPr>
          <w:rFonts w:ascii="Arial" w:hAnsi="Arial" w:cs="Arial"/>
          <w:color w:val="000000" w:themeColor="text1"/>
        </w:rPr>
        <w:t xml:space="preserve"> and tell us if we are moving towards or away from our WIG’s. It is critical that measures are tracked with 100% accuracy, so we can identify if our improvement strategies are working.</w:t>
      </w:r>
    </w:p>
    <w:p w14:paraId="039558A5" w14:textId="0EC66EED" w:rsidR="006B70B1" w:rsidRDefault="005C307E" w:rsidP="006B70B1">
      <w:pPr>
        <w:spacing w:line="240" w:lineRule="auto"/>
        <w:rPr>
          <w:rFonts w:ascii="Arial" w:hAnsi="Arial" w:cs="Arial"/>
          <w:strike/>
          <w:color w:val="000000" w:themeColor="text1"/>
        </w:rPr>
      </w:pPr>
      <w:r w:rsidRPr="00BF77D4">
        <w:rPr>
          <w:rFonts w:ascii="Arial" w:hAnsi="Arial" w:cs="Arial"/>
          <w:b/>
          <w:color w:val="000000" w:themeColor="text1"/>
          <w:u w:val="single"/>
        </w:rPr>
        <w:t>Benchmark</w:t>
      </w:r>
      <w:r w:rsidR="00956D14" w:rsidRPr="00BF77D4">
        <w:rPr>
          <w:rFonts w:ascii="Arial" w:hAnsi="Arial" w:cs="Arial"/>
          <w:b/>
          <w:color w:val="000000" w:themeColor="text1"/>
          <w:u w:val="single"/>
        </w:rPr>
        <w:t>(ed)</w:t>
      </w:r>
      <w:r w:rsidRPr="00BF77D4">
        <w:rPr>
          <w:rFonts w:ascii="Arial" w:hAnsi="Arial" w:cs="Arial"/>
          <w:color w:val="000000" w:themeColor="text1"/>
        </w:rPr>
        <w:t xml:space="preserve">: The NMSBDC sets benchmarks for </w:t>
      </w:r>
      <w:r w:rsidR="00D329CD" w:rsidRPr="00BF77D4">
        <w:rPr>
          <w:rFonts w:ascii="Arial" w:hAnsi="Arial" w:cs="Arial"/>
          <w:color w:val="000000" w:themeColor="text1"/>
        </w:rPr>
        <w:t xml:space="preserve">the five </w:t>
      </w:r>
      <w:r w:rsidR="00991164" w:rsidRPr="00BF77D4">
        <w:rPr>
          <w:rFonts w:ascii="Arial" w:hAnsi="Arial" w:cs="Arial"/>
          <w:color w:val="000000" w:themeColor="text1"/>
        </w:rPr>
        <w:t>measures</w:t>
      </w:r>
      <w:r w:rsidR="00D329CD" w:rsidRPr="00BF77D4">
        <w:rPr>
          <w:rFonts w:ascii="Arial" w:hAnsi="Arial" w:cs="Arial"/>
          <w:color w:val="000000" w:themeColor="text1"/>
        </w:rPr>
        <w:t xml:space="preserve"> from external sources (State and SBA)</w:t>
      </w:r>
      <w:r w:rsidRPr="00BF77D4">
        <w:rPr>
          <w:rFonts w:ascii="Arial" w:hAnsi="Arial" w:cs="Arial"/>
          <w:color w:val="000000" w:themeColor="text1"/>
        </w:rPr>
        <w:t xml:space="preserve">, so we know if we are performing at an average level. Think of a benchmark as the equivalent of par when playing golf. </w:t>
      </w:r>
      <w:r w:rsidR="00E03575" w:rsidRPr="00BF77D4">
        <w:rPr>
          <w:rFonts w:ascii="Arial" w:hAnsi="Arial" w:cs="Arial"/>
          <w:color w:val="000000" w:themeColor="text1"/>
        </w:rPr>
        <w:t xml:space="preserve">This </w:t>
      </w:r>
      <w:r w:rsidRPr="00BF77D4">
        <w:rPr>
          <w:rFonts w:ascii="Arial" w:hAnsi="Arial" w:cs="Arial"/>
          <w:color w:val="000000" w:themeColor="text1"/>
        </w:rPr>
        <w:t xml:space="preserve">identifies how we are actually accomplishing our </w:t>
      </w:r>
      <w:r w:rsidR="00E03575" w:rsidRPr="00BF77D4">
        <w:rPr>
          <w:rFonts w:ascii="Arial" w:hAnsi="Arial" w:cs="Arial"/>
          <w:color w:val="000000" w:themeColor="text1"/>
        </w:rPr>
        <w:t>measures from external sources.</w:t>
      </w:r>
      <w:r w:rsidR="006B70B1">
        <w:rPr>
          <w:rFonts w:ascii="Arial" w:hAnsi="Arial" w:cs="Arial"/>
          <w:color w:val="000000" w:themeColor="text1"/>
        </w:rPr>
        <w:t xml:space="preserve"> </w:t>
      </w:r>
      <w:r w:rsidRPr="00BF77D4">
        <w:rPr>
          <w:rFonts w:ascii="Arial" w:hAnsi="Arial" w:cs="Arial"/>
          <w:color w:val="000000" w:themeColor="text1"/>
        </w:rPr>
        <w:t xml:space="preserve">Benchmarks are based on the fair share of the total network wide goals from the </w:t>
      </w:r>
      <w:r w:rsidR="00E03575" w:rsidRPr="00BF77D4">
        <w:rPr>
          <w:rFonts w:ascii="Arial" w:hAnsi="Arial" w:cs="Arial"/>
          <w:color w:val="000000" w:themeColor="text1"/>
        </w:rPr>
        <w:t xml:space="preserve">State and the </w:t>
      </w:r>
      <w:r w:rsidRPr="00BF77D4">
        <w:rPr>
          <w:rFonts w:ascii="Arial" w:hAnsi="Arial" w:cs="Arial"/>
          <w:color w:val="000000" w:themeColor="text1"/>
        </w:rPr>
        <w:t xml:space="preserve">SBA. </w:t>
      </w:r>
    </w:p>
    <w:p w14:paraId="18CD322A" w14:textId="0A15DB93" w:rsidR="005C307E" w:rsidRPr="00BF77D4" w:rsidRDefault="005C307E" w:rsidP="006B70B1">
      <w:pPr>
        <w:spacing w:line="240" w:lineRule="auto"/>
        <w:rPr>
          <w:rFonts w:ascii="Arial" w:hAnsi="Arial" w:cs="Arial"/>
          <w:color w:val="000000" w:themeColor="text1"/>
        </w:rPr>
      </w:pPr>
      <w:r w:rsidRPr="00BF77D4">
        <w:rPr>
          <w:rFonts w:ascii="Arial" w:hAnsi="Arial" w:cs="Arial"/>
          <w:b/>
          <w:color w:val="000000" w:themeColor="text1"/>
          <w:u w:val="single"/>
        </w:rPr>
        <w:t>Entrepreneurial Development Management Information System</w:t>
      </w:r>
      <w:r w:rsidR="007C3BBA" w:rsidRPr="00BF77D4">
        <w:rPr>
          <w:rFonts w:ascii="Arial" w:hAnsi="Arial" w:cs="Arial"/>
          <w:b/>
          <w:color w:val="000000" w:themeColor="text1"/>
          <w:u w:val="single"/>
        </w:rPr>
        <w:t xml:space="preserve"> – Next Generation</w:t>
      </w:r>
      <w:r w:rsidRPr="00BF77D4">
        <w:rPr>
          <w:rFonts w:ascii="Arial" w:hAnsi="Arial" w:cs="Arial"/>
          <w:b/>
          <w:color w:val="000000" w:themeColor="text1"/>
          <w:u w:val="single"/>
        </w:rPr>
        <w:t xml:space="preserve"> (EDMIS</w:t>
      </w:r>
      <w:r w:rsidR="007C3BBA" w:rsidRPr="00BF77D4">
        <w:rPr>
          <w:rFonts w:ascii="Arial" w:hAnsi="Arial" w:cs="Arial"/>
          <w:b/>
          <w:color w:val="000000" w:themeColor="text1"/>
          <w:u w:val="single"/>
        </w:rPr>
        <w:t>-NG</w:t>
      </w:r>
      <w:r w:rsidRPr="00BF77D4">
        <w:rPr>
          <w:rFonts w:ascii="Arial" w:hAnsi="Arial" w:cs="Arial"/>
          <w:b/>
          <w:color w:val="000000" w:themeColor="text1"/>
          <w:u w:val="single"/>
        </w:rPr>
        <w:t>:</w:t>
      </w:r>
      <w:r w:rsidRPr="00BF77D4">
        <w:rPr>
          <w:rFonts w:ascii="Arial" w:hAnsi="Arial" w:cs="Arial"/>
          <w:color w:val="000000" w:themeColor="text1"/>
        </w:rPr>
        <w:t xml:space="preserve"> The SBA database used to collect client activity data for counseling and training.  It also collects the client impact data for SBDC’s and Women’s Business Centers, Veterans Business Outreach Centers (VBOC), Service Corps of Retired Executives (SCORE). SBA resource partners that provide counseling and training report their data into EDMIS</w:t>
      </w:r>
      <w:r w:rsidR="007C3BBA" w:rsidRPr="00BF77D4">
        <w:rPr>
          <w:rFonts w:ascii="Arial" w:hAnsi="Arial" w:cs="Arial"/>
          <w:color w:val="000000" w:themeColor="text1"/>
        </w:rPr>
        <w:t>-NG</w:t>
      </w:r>
      <w:r w:rsidRPr="00BF77D4">
        <w:rPr>
          <w:rFonts w:ascii="Arial" w:hAnsi="Arial" w:cs="Arial"/>
          <w:color w:val="000000" w:themeColor="text1"/>
        </w:rPr>
        <w:t xml:space="preserve"> by either directly keying the </w:t>
      </w:r>
      <w:r w:rsidRPr="00BF77D4">
        <w:rPr>
          <w:rFonts w:ascii="Arial" w:hAnsi="Arial" w:cs="Arial"/>
          <w:color w:val="000000" w:themeColor="text1"/>
        </w:rPr>
        <w:lastRenderedPageBreak/>
        <w:t>information into the system or attaching an XML data file containing their client activity. The captured EDMIS</w:t>
      </w:r>
      <w:r w:rsidR="007C3BBA" w:rsidRPr="00BF77D4">
        <w:rPr>
          <w:rFonts w:ascii="Arial" w:hAnsi="Arial" w:cs="Arial"/>
          <w:color w:val="000000" w:themeColor="text1"/>
        </w:rPr>
        <w:t>-NG</w:t>
      </w:r>
      <w:r w:rsidRPr="00BF77D4">
        <w:rPr>
          <w:rFonts w:ascii="Arial" w:hAnsi="Arial" w:cs="Arial"/>
          <w:color w:val="000000" w:themeColor="text1"/>
        </w:rPr>
        <w:t xml:space="preserve"> data is the repository for client activity data and is used to ensure effective management of ED (Entrepreneurial Development) programs, as well as provide sound statistical reports for the Office of Management and Budget and Congress.</w:t>
      </w:r>
    </w:p>
    <w:p w14:paraId="130A3FE4" w14:textId="503EE179" w:rsidR="005C307E" w:rsidRPr="00BF77D4" w:rsidRDefault="005C307E" w:rsidP="005C307E">
      <w:pPr>
        <w:spacing w:line="240" w:lineRule="auto"/>
        <w:rPr>
          <w:rFonts w:ascii="Arial" w:hAnsi="Arial" w:cs="Arial"/>
          <w:color w:val="000000" w:themeColor="text1"/>
        </w:rPr>
      </w:pPr>
      <w:r w:rsidRPr="00BF77D4">
        <w:rPr>
          <w:rFonts w:ascii="Arial" w:hAnsi="Arial" w:cs="Arial"/>
          <w:b/>
          <w:color w:val="000000" w:themeColor="text1"/>
          <w:u w:val="single"/>
        </w:rPr>
        <w:t>Neoserra:</w:t>
      </w:r>
      <w:r w:rsidRPr="00BF77D4">
        <w:rPr>
          <w:rFonts w:ascii="Arial" w:hAnsi="Arial" w:cs="Arial"/>
          <w:color w:val="000000" w:themeColor="text1"/>
        </w:rPr>
        <w:t xml:space="preserve">  Outreach Systems’ management informational system that the NMSBDC Program uses to record and calculate all our EDMIS</w:t>
      </w:r>
      <w:r w:rsidR="007C3BBA" w:rsidRPr="00BF77D4">
        <w:rPr>
          <w:rFonts w:ascii="Arial" w:hAnsi="Arial" w:cs="Arial"/>
          <w:color w:val="000000" w:themeColor="text1"/>
        </w:rPr>
        <w:t>-NG</w:t>
      </w:r>
      <w:r w:rsidRPr="00BF77D4">
        <w:rPr>
          <w:rFonts w:ascii="Arial" w:hAnsi="Arial" w:cs="Arial"/>
          <w:color w:val="000000" w:themeColor="text1"/>
        </w:rPr>
        <w:t xml:space="preserve"> data. Neoserra handles all the EDMIS</w:t>
      </w:r>
      <w:r w:rsidR="007C3BBA" w:rsidRPr="00BF77D4">
        <w:rPr>
          <w:rFonts w:ascii="Arial" w:hAnsi="Arial" w:cs="Arial"/>
          <w:color w:val="000000" w:themeColor="text1"/>
        </w:rPr>
        <w:t>-NG</w:t>
      </w:r>
      <w:r w:rsidRPr="00BF77D4">
        <w:rPr>
          <w:rFonts w:ascii="Arial" w:hAnsi="Arial" w:cs="Arial"/>
          <w:color w:val="000000" w:themeColor="text1"/>
        </w:rPr>
        <w:t xml:space="preserve"> entry and calculations under the </w:t>
      </w:r>
      <w:r w:rsidR="00195E4B" w:rsidRPr="00BF77D4">
        <w:rPr>
          <w:rFonts w:ascii="Arial" w:hAnsi="Arial" w:cs="Arial"/>
          <w:color w:val="000000" w:themeColor="text1"/>
        </w:rPr>
        <w:t>hood,</w:t>
      </w:r>
      <w:r w:rsidRPr="00BF77D4">
        <w:rPr>
          <w:rFonts w:ascii="Arial" w:hAnsi="Arial" w:cs="Arial"/>
          <w:color w:val="000000" w:themeColor="text1"/>
        </w:rPr>
        <w:t xml:space="preserve"> so you don’t have to! </w:t>
      </w:r>
    </w:p>
    <w:p w14:paraId="0AB1DFBE" w14:textId="5CB6E9EF" w:rsidR="00A7424F" w:rsidRPr="00BF77D4" w:rsidRDefault="0078649D" w:rsidP="00383BE2">
      <w:pPr>
        <w:spacing w:line="240" w:lineRule="auto"/>
        <w:rPr>
          <w:rFonts w:ascii="Arial" w:hAnsi="Arial" w:cs="Arial"/>
          <w:color w:val="000000" w:themeColor="text1"/>
        </w:rPr>
      </w:pPr>
      <w:r w:rsidRPr="00BF77D4">
        <w:rPr>
          <w:rFonts w:ascii="Arial" w:hAnsi="Arial" w:cs="Arial"/>
          <w:b/>
          <w:color w:val="000000" w:themeColor="text1"/>
          <w:u w:val="single"/>
        </w:rPr>
        <w:t>eC</w:t>
      </w:r>
      <w:r w:rsidR="005C307E" w:rsidRPr="00BF77D4">
        <w:rPr>
          <w:rFonts w:ascii="Arial" w:hAnsi="Arial" w:cs="Arial"/>
          <w:b/>
          <w:color w:val="000000" w:themeColor="text1"/>
          <w:u w:val="single"/>
        </w:rPr>
        <w:t>enter:</w:t>
      </w:r>
      <w:r w:rsidR="005C307E" w:rsidRPr="00BF77D4">
        <w:rPr>
          <w:rFonts w:ascii="Arial" w:hAnsi="Arial" w:cs="Arial"/>
          <w:color w:val="000000" w:themeColor="text1"/>
        </w:rPr>
        <w:t xml:space="preserve"> </w:t>
      </w:r>
      <w:r w:rsidR="006D2104" w:rsidRPr="00BF77D4">
        <w:rPr>
          <w:rFonts w:ascii="Arial" w:hAnsi="Arial" w:cs="Arial"/>
          <w:color w:val="000000" w:themeColor="text1"/>
        </w:rPr>
        <w:t xml:space="preserve">The </w:t>
      </w:r>
      <w:r w:rsidR="00E03575" w:rsidRPr="00BF77D4">
        <w:rPr>
          <w:rFonts w:ascii="Arial" w:hAnsi="Arial" w:cs="Arial"/>
          <w:color w:val="000000" w:themeColor="text1"/>
        </w:rPr>
        <w:t xml:space="preserve">Outreach Systems’ </w:t>
      </w:r>
      <w:r w:rsidR="006D2104" w:rsidRPr="00BF77D4">
        <w:rPr>
          <w:rFonts w:ascii="Arial" w:hAnsi="Arial" w:cs="Arial"/>
          <w:color w:val="000000" w:themeColor="text1"/>
        </w:rPr>
        <w:t>website</w:t>
      </w:r>
      <w:r w:rsidRPr="00BF77D4">
        <w:rPr>
          <w:rFonts w:ascii="Arial" w:hAnsi="Arial" w:cs="Arial"/>
          <w:color w:val="000000" w:themeColor="text1"/>
        </w:rPr>
        <w:t xml:space="preserve"> used by new or existing clients to request counseling services </w:t>
      </w:r>
      <w:r w:rsidR="00CC56E3" w:rsidRPr="00BF77D4">
        <w:rPr>
          <w:rFonts w:ascii="Arial" w:hAnsi="Arial" w:cs="Arial"/>
          <w:color w:val="000000" w:themeColor="text1"/>
        </w:rPr>
        <w:t xml:space="preserve">by selecting “New Client Sign Up” </w:t>
      </w:r>
      <w:r w:rsidRPr="00BF77D4">
        <w:rPr>
          <w:rFonts w:ascii="Arial" w:hAnsi="Arial" w:cs="Arial"/>
          <w:color w:val="000000" w:themeColor="text1"/>
        </w:rPr>
        <w:t>and/or view and sign up for events by selecting “Training Events</w:t>
      </w:r>
      <w:r w:rsidR="000C7DED" w:rsidRPr="00BF77D4">
        <w:rPr>
          <w:rFonts w:ascii="Arial" w:hAnsi="Arial" w:cs="Arial"/>
          <w:color w:val="000000" w:themeColor="text1"/>
        </w:rPr>
        <w:t>”</w:t>
      </w:r>
      <w:r w:rsidRPr="00BF77D4">
        <w:rPr>
          <w:rFonts w:ascii="Arial" w:hAnsi="Arial" w:cs="Arial"/>
          <w:color w:val="000000" w:themeColor="text1"/>
        </w:rPr>
        <w:t xml:space="preserve">.  Once new clients sign up and their request is </w:t>
      </w:r>
      <w:r w:rsidR="00195E4B" w:rsidRPr="00BF77D4">
        <w:rPr>
          <w:rFonts w:ascii="Arial" w:hAnsi="Arial" w:cs="Arial"/>
          <w:color w:val="000000" w:themeColor="text1"/>
        </w:rPr>
        <w:t>processed,</w:t>
      </w:r>
      <w:r w:rsidRPr="00BF77D4">
        <w:rPr>
          <w:rFonts w:ascii="Arial" w:hAnsi="Arial" w:cs="Arial"/>
          <w:color w:val="000000" w:themeColor="text1"/>
        </w:rPr>
        <w:t xml:space="preserve"> they will receive confirmation and a login password for </w:t>
      </w:r>
      <w:r w:rsidR="000C7DED" w:rsidRPr="00BF77D4">
        <w:rPr>
          <w:rFonts w:ascii="Arial" w:hAnsi="Arial" w:cs="Arial"/>
          <w:color w:val="000000" w:themeColor="text1"/>
        </w:rPr>
        <w:t xml:space="preserve">their </w:t>
      </w:r>
      <w:r w:rsidRPr="00BF77D4">
        <w:rPr>
          <w:rFonts w:ascii="Arial" w:hAnsi="Arial" w:cs="Arial"/>
          <w:color w:val="000000" w:themeColor="text1"/>
        </w:rPr>
        <w:t xml:space="preserve">future use. eCenter is accessed on the Internet at </w:t>
      </w:r>
      <w:hyperlink r:id="rId7" w:history="1">
        <w:r w:rsidR="00A7424F" w:rsidRPr="00BF77D4">
          <w:rPr>
            <w:rStyle w:val="Hyperlink"/>
            <w:rFonts w:ascii="Arial" w:eastAsia="Times New Roman" w:hAnsi="Arial" w:cs="Arial"/>
            <w:color w:val="000000" w:themeColor="text1"/>
            <w:spacing w:val="-2"/>
          </w:rPr>
          <w:t>https://nmsbdc.ecenterdirect.com</w:t>
        </w:r>
      </w:hyperlink>
      <w:r w:rsidR="004051EE" w:rsidRPr="00BF77D4">
        <w:rPr>
          <w:rStyle w:val="Hyperlink"/>
          <w:rFonts w:ascii="Arial" w:eastAsia="Times New Roman" w:hAnsi="Arial" w:cs="Arial"/>
          <w:color w:val="000000" w:themeColor="text1"/>
          <w:spacing w:val="-2"/>
          <w:u w:val="none"/>
        </w:rPr>
        <w:t xml:space="preserve">  </w:t>
      </w:r>
      <w:r w:rsidR="006D2104" w:rsidRPr="00BF77D4">
        <w:rPr>
          <w:rStyle w:val="Hyperlink"/>
          <w:rFonts w:ascii="Arial" w:eastAsia="Times New Roman" w:hAnsi="Arial" w:cs="Arial"/>
          <w:color w:val="000000" w:themeColor="text1"/>
          <w:spacing w:val="-2"/>
          <w:u w:val="none"/>
        </w:rPr>
        <w:t xml:space="preserve">The client </w:t>
      </w:r>
      <w:r w:rsidR="00195E4B" w:rsidRPr="00BF77D4">
        <w:rPr>
          <w:rStyle w:val="Hyperlink"/>
          <w:rFonts w:ascii="Arial" w:eastAsia="Times New Roman" w:hAnsi="Arial" w:cs="Arial"/>
          <w:color w:val="000000" w:themeColor="text1"/>
          <w:spacing w:val="-2"/>
          <w:u w:val="none"/>
        </w:rPr>
        <w:t>signs</w:t>
      </w:r>
      <w:r w:rsidR="006D2104" w:rsidRPr="00BF77D4">
        <w:rPr>
          <w:rStyle w:val="Hyperlink"/>
          <w:rFonts w:ascii="Arial" w:eastAsia="Times New Roman" w:hAnsi="Arial" w:cs="Arial"/>
          <w:color w:val="000000" w:themeColor="text1"/>
          <w:spacing w:val="-2"/>
          <w:u w:val="none"/>
        </w:rPr>
        <w:t xml:space="preserve"> up process serves as an approved electronic substitute for the SBA Form 641. </w:t>
      </w:r>
    </w:p>
    <w:sectPr w:rsidR="00A7424F" w:rsidRPr="00BF77D4" w:rsidSect="004051EE">
      <w:headerReference w:type="even" r:id="rId8"/>
      <w:headerReference w:type="default" r:id="rId9"/>
      <w:footerReference w:type="even" r:id="rId10"/>
      <w:footerReference w:type="default" r:id="rId11"/>
      <w:headerReference w:type="first" r:id="rId12"/>
      <w:footerReference w:type="first" r:id="rId13"/>
      <w:pgSz w:w="12240" w:h="15840" w:code="1"/>
      <w:pgMar w:top="1152" w:right="1296" w:bottom="1008" w:left="1296"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8E7D" w14:textId="77777777" w:rsidR="007177FA" w:rsidRDefault="007177FA" w:rsidP="00FD3FEA">
      <w:pPr>
        <w:spacing w:after="0" w:line="240" w:lineRule="auto"/>
      </w:pPr>
      <w:r>
        <w:separator/>
      </w:r>
    </w:p>
  </w:endnote>
  <w:endnote w:type="continuationSeparator" w:id="0">
    <w:p w14:paraId="07CBA54D" w14:textId="77777777" w:rsidR="007177FA" w:rsidRDefault="007177FA" w:rsidP="00FD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EDBE" w14:textId="77777777" w:rsidR="00E21344" w:rsidRDefault="00E2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671C" w14:textId="70894405" w:rsidR="004051EE" w:rsidRDefault="004051EE" w:rsidP="004051EE">
    <w:pPr>
      <w:pStyle w:val="Footer"/>
      <w:tabs>
        <w:tab w:val="center" w:pos="4824"/>
        <w:tab w:val="left" w:pos="6072"/>
      </w:tabs>
      <w:rPr>
        <w:noProof/>
      </w:rPr>
    </w:pPr>
    <w:r>
      <w:tab/>
    </w:r>
    <w:r>
      <w:tab/>
    </w:r>
    <w:sdt>
      <w:sdtPr>
        <w:id w:val="4699427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C5662">
          <w:rPr>
            <w:noProof/>
          </w:rPr>
          <w:t>1</w:t>
        </w:r>
        <w:r>
          <w:rPr>
            <w:noProof/>
          </w:rPr>
          <w:fldChar w:fldCharType="end"/>
        </w:r>
      </w:sdtContent>
    </w:sdt>
    <w:r>
      <w:rPr>
        <w:noProof/>
      </w:rPr>
      <w:tab/>
      <w:t>Created: 07/2015 by the Lead Center</w:t>
    </w:r>
  </w:p>
  <w:p w14:paraId="71442586" w14:textId="30C536D1" w:rsidR="004051EE" w:rsidRDefault="004051EE" w:rsidP="004051EE">
    <w:pPr>
      <w:pStyle w:val="Footer"/>
      <w:tabs>
        <w:tab w:val="center" w:pos="4824"/>
        <w:tab w:val="left" w:pos="6072"/>
      </w:tabs>
      <w:rPr>
        <w:noProof/>
      </w:rPr>
    </w:pPr>
    <w:r>
      <w:rPr>
        <w:noProof/>
      </w:rPr>
      <w:tab/>
    </w:r>
    <w:r>
      <w:rPr>
        <w:noProof/>
      </w:rPr>
      <w:tab/>
    </w:r>
    <w:r>
      <w:rPr>
        <w:noProof/>
      </w:rPr>
      <w:tab/>
    </w:r>
    <w:r>
      <w:rPr>
        <w:noProof/>
      </w:rPr>
      <w:tab/>
      <w:t xml:space="preserve">Revision Date: </w:t>
    </w:r>
    <w:r w:rsidR="00F90D21">
      <w:rPr>
        <w:noProof/>
      </w:rPr>
      <w:t xml:space="preserve">  </w:t>
    </w:r>
    <w:r w:rsidR="006C7B55">
      <w:rPr>
        <w:noProof/>
      </w:rPr>
      <w:t>3/</w:t>
    </w:r>
    <w:r w:rsidR="009841CC">
      <w:rPr>
        <w:noProof/>
      </w:rPr>
      <w:t>25</w:t>
    </w:r>
    <w:r w:rsidR="00F90D21">
      <w:rPr>
        <w:noProof/>
      </w:rPr>
      <w:t>/2</w:t>
    </w:r>
    <w:r w:rsidR="009841CC">
      <w:rPr>
        <w:noProof/>
      </w:rPr>
      <w:t>2</w:t>
    </w:r>
    <w:r w:rsidR="00F90D21">
      <w:rPr>
        <w:noProof/>
      </w:rPr>
      <w:t xml:space="preserve">   </w:t>
    </w:r>
  </w:p>
  <w:p w14:paraId="76337953" w14:textId="25408C17" w:rsidR="00CF56B8" w:rsidRPr="009731F8" w:rsidRDefault="004051EE" w:rsidP="004051EE">
    <w:pPr>
      <w:pStyle w:val="Footer"/>
      <w:tabs>
        <w:tab w:val="center" w:pos="4824"/>
        <w:tab w:val="left" w:pos="6072"/>
      </w:tabs>
      <w:rPr>
        <w:rFonts w:ascii="Calibri" w:eastAsia="Calibri" w:hAnsi="Calibri" w:cs="Times New Roman"/>
        <w:color w:val="000000"/>
        <w:sz w:val="16"/>
        <w:szCs w:val="16"/>
      </w:rPr>
    </w:pPr>
    <w:r>
      <w:rPr>
        <w:noProof/>
      </w:rPr>
      <w:tab/>
    </w:r>
    <w:r>
      <w:rPr>
        <w:noProof/>
      </w:rPr>
      <w:tab/>
    </w:r>
    <w:r>
      <w:rPr>
        <w:noProof/>
      </w:rPr>
      <w:tab/>
    </w:r>
    <w:r>
      <w:rPr>
        <w:noProof/>
      </w:rPr>
      <w:tab/>
      <w:t>Effective Date: 1/01 – 12/31/202</w:t>
    </w:r>
    <w:r w:rsidR="005B1AEE">
      <w:rPr>
        <w:noProof/>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A44D" w14:textId="77777777" w:rsidR="00E21344" w:rsidRDefault="00E2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2503" w14:textId="77777777" w:rsidR="007177FA" w:rsidRDefault="007177FA" w:rsidP="00FD3FEA">
      <w:pPr>
        <w:spacing w:after="0" w:line="240" w:lineRule="auto"/>
      </w:pPr>
      <w:r>
        <w:separator/>
      </w:r>
    </w:p>
  </w:footnote>
  <w:footnote w:type="continuationSeparator" w:id="0">
    <w:p w14:paraId="41712E55" w14:textId="77777777" w:rsidR="007177FA" w:rsidRDefault="007177FA" w:rsidP="00FD3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C480" w14:textId="77777777" w:rsidR="00E21344" w:rsidRDefault="00E21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F9F1" w14:textId="33462655" w:rsidR="00EF28FC" w:rsidRDefault="00EF28FC" w:rsidP="00C31776">
    <w:pPr>
      <w:pStyle w:val="Header"/>
    </w:pPr>
    <w:r>
      <w:rPr>
        <w:noProof/>
      </w:rPr>
      <mc:AlternateContent>
        <mc:Choice Requires="wps">
          <w:drawing>
            <wp:anchor distT="0" distB="0" distL="114300" distR="114300" simplePos="0" relativeHeight="251659264" behindDoc="0" locked="0" layoutInCell="1" allowOverlap="1" wp14:anchorId="7AA04DF7" wp14:editId="463379A0">
              <wp:simplePos x="0" y="0"/>
              <wp:positionH relativeFrom="column">
                <wp:posOffset>2542903</wp:posOffset>
              </wp:positionH>
              <wp:positionV relativeFrom="paragraph">
                <wp:posOffset>-184604</wp:posOffset>
              </wp:positionV>
              <wp:extent cx="722177" cy="453118"/>
              <wp:effectExtent l="0" t="0" r="20955" b="23495"/>
              <wp:wrapNone/>
              <wp:docPr id="2" name="Text Box 2"/>
              <wp:cNvGraphicFramePr/>
              <a:graphic xmlns:a="http://schemas.openxmlformats.org/drawingml/2006/main">
                <a:graphicData uri="http://schemas.microsoft.com/office/word/2010/wordprocessingShape">
                  <wps:wsp>
                    <wps:cNvSpPr txBox="1"/>
                    <wps:spPr>
                      <a:xfrm>
                        <a:off x="0" y="0"/>
                        <a:ext cx="722177" cy="453118"/>
                      </a:xfrm>
                      <a:prstGeom prst="rect">
                        <a:avLst/>
                      </a:prstGeom>
                      <a:solidFill>
                        <a:schemeClr val="lt1"/>
                      </a:solidFill>
                      <a:ln w="6350">
                        <a:solidFill>
                          <a:prstClr val="black"/>
                        </a:solidFill>
                      </a:ln>
                    </wps:spPr>
                    <wps:txbx>
                      <w:txbxContent>
                        <w:p w14:paraId="38547592" w14:textId="10CCAAFA" w:rsidR="00EF28FC" w:rsidRDefault="00EF28FC">
                          <w:r>
                            <w:rPr>
                              <w:noProof/>
                            </w:rPr>
                            <w:drawing>
                              <wp:inline distT="0" distB="0" distL="0" distR="0" wp14:anchorId="16C7E46E" wp14:editId="0D931EDD">
                                <wp:extent cx="550039" cy="326028"/>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SBDC_Logo.jpg"/>
                                        <pic:cNvPicPr/>
                                      </pic:nvPicPr>
                                      <pic:blipFill>
                                        <a:blip r:embed="rId1">
                                          <a:extLst>
                                            <a:ext uri="{28A0092B-C50C-407E-A947-70E740481C1C}">
                                              <a14:useLocalDpi xmlns:a14="http://schemas.microsoft.com/office/drawing/2010/main" val="0"/>
                                            </a:ext>
                                          </a:extLst>
                                        </a:blip>
                                        <a:stretch>
                                          <a:fillRect/>
                                        </a:stretch>
                                      </pic:blipFill>
                                      <pic:spPr>
                                        <a:xfrm>
                                          <a:off x="0" y="0"/>
                                          <a:ext cx="554279" cy="3285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04DF7" id="_x0000_t202" coordsize="21600,21600" o:spt="202" path="m,l,21600r21600,l21600,xe">
              <v:stroke joinstyle="miter"/>
              <v:path gradientshapeok="t" o:connecttype="rect"/>
            </v:shapetype>
            <v:shape id="Text Box 2" o:spid="_x0000_s1026" type="#_x0000_t202" style="position:absolute;margin-left:200.25pt;margin-top:-14.55pt;width:56.8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" fillcolor="white [3201]" strokeweight=".5pt">
              <v:textbox>
                <w:txbxContent>
                  <w:p w14:paraId="38547592" w14:textId="10CCAAFA" w:rsidR="00EF28FC" w:rsidRDefault="00EF28FC">
                    <w:r>
                      <w:rPr>
                        <w:noProof/>
                      </w:rPr>
                      <w:drawing>
                        <wp:inline distT="0" distB="0" distL="0" distR="0" wp14:anchorId="16C7E46E" wp14:editId="0D931EDD">
                          <wp:extent cx="550039" cy="326028"/>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SBDC_Logo.jpg"/>
                                  <pic:cNvPicPr/>
                                </pic:nvPicPr>
                                <pic:blipFill>
                                  <a:blip r:embed="rId1">
                                    <a:extLst>
                                      <a:ext uri="{28A0092B-C50C-407E-A947-70E740481C1C}">
                                        <a14:useLocalDpi xmlns:a14="http://schemas.microsoft.com/office/drawing/2010/main" val="0"/>
                                      </a:ext>
                                    </a:extLst>
                                  </a:blip>
                                  <a:stretch>
                                    <a:fillRect/>
                                  </a:stretch>
                                </pic:blipFill>
                                <pic:spPr>
                                  <a:xfrm>
                                    <a:off x="0" y="0"/>
                                    <a:ext cx="554279" cy="328541"/>
                                  </a:xfrm>
                                  <a:prstGeom prst="rect">
                                    <a:avLst/>
                                  </a:prstGeom>
                                </pic:spPr>
                              </pic:pic>
                            </a:graphicData>
                          </a:graphic>
                        </wp:inline>
                      </w:drawing>
                    </w:r>
                  </w:p>
                </w:txbxContent>
              </v:textbox>
            </v:shape>
          </w:pict>
        </mc:Fallback>
      </mc:AlternateContent>
    </w:r>
  </w:p>
  <w:p w14:paraId="492D0E9F" w14:textId="3DB06602" w:rsidR="00EF28FC" w:rsidRDefault="00EF28FC" w:rsidP="00C31776">
    <w:pPr>
      <w:pStyle w:val="Header"/>
    </w:pPr>
  </w:p>
  <w:p w14:paraId="3E31106D" w14:textId="77777777" w:rsidR="004C5BB2" w:rsidRDefault="004C5BB2" w:rsidP="00C31776">
    <w:pPr>
      <w:pStyle w:val="Header"/>
    </w:pPr>
  </w:p>
  <w:p w14:paraId="66BCED8B" w14:textId="34C68034" w:rsidR="00C31776" w:rsidRPr="00C31776" w:rsidRDefault="00C31776" w:rsidP="00C31776">
    <w:pPr>
      <w:pStyle w:val="Header"/>
    </w:pPr>
    <w:r w:rsidRPr="00C31776">
      <w:t>New Mexico Small Business Development Center (NMSBDC) Statewide Business Plan (SBP)</w:t>
    </w:r>
    <w:r>
      <w:t xml:space="preserve"> Measures</w:t>
    </w:r>
  </w:p>
  <w:p w14:paraId="093EC256" w14:textId="3058FD74" w:rsidR="00CF56B8" w:rsidRPr="00FD3FEA" w:rsidRDefault="00CF56B8" w:rsidP="00304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B729" w14:textId="77777777" w:rsidR="00E21344" w:rsidRDefault="00E21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DF8"/>
    <w:multiLevelType w:val="hybridMultilevel"/>
    <w:tmpl w:val="164E19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52F79"/>
    <w:multiLevelType w:val="hybridMultilevel"/>
    <w:tmpl w:val="FC0E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0579"/>
    <w:multiLevelType w:val="hybridMultilevel"/>
    <w:tmpl w:val="676AA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7111C8"/>
    <w:multiLevelType w:val="hybridMultilevel"/>
    <w:tmpl w:val="B04AB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C1E71"/>
    <w:multiLevelType w:val="hybridMultilevel"/>
    <w:tmpl w:val="2500FE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ED6F81"/>
    <w:multiLevelType w:val="hybridMultilevel"/>
    <w:tmpl w:val="ACAE308E"/>
    <w:lvl w:ilvl="0" w:tplc="A3185602">
      <w:start w:val="1"/>
      <w:numFmt w:val="upperRoman"/>
      <w:lvlText w:val="%1."/>
      <w:lvlJc w:val="right"/>
      <w:pPr>
        <w:tabs>
          <w:tab w:val="num" w:pos="216"/>
        </w:tabs>
        <w:ind w:left="216" w:hanging="216"/>
      </w:pPr>
      <w:rPr>
        <w:rFonts w:hint="default"/>
      </w:rPr>
    </w:lvl>
    <w:lvl w:ilvl="1" w:tplc="04090019">
      <w:start w:val="1"/>
      <w:numFmt w:val="lowerLetter"/>
      <w:lvlText w:val="%2."/>
      <w:lvlJc w:val="left"/>
      <w:pPr>
        <w:tabs>
          <w:tab w:val="num" w:pos="900"/>
        </w:tabs>
        <w:ind w:left="900" w:hanging="360"/>
      </w:pPr>
    </w:lvl>
    <w:lvl w:ilvl="2" w:tplc="9BEE6314">
      <w:start w:val="1"/>
      <w:numFmt w:val="decimal"/>
      <w:lvlText w:val="%3."/>
      <w:lvlJc w:val="left"/>
      <w:pPr>
        <w:tabs>
          <w:tab w:val="num" w:pos="1800"/>
        </w:tabs>
        <w:ind w:left="1800" w:hanging="360"/>
      </w:pPr>
      <w:rPr>
        <w:rFonts w:hint="default"/>
      </w:rPr>
    </w:lvl>
    <w:lvl w:ilvl="3" w:tplc="4C4A330A">
      <w:start w:val="4"/>
      <w:numFmt w:val="upperLetter"/>
      <w:lvlText w:val="(%4)"/>
      <w:lvlJc w:val="left"/>
      <w:pPr>
        <w:tabs>
          <w:tab w:val="num" w:pos="2390"/>
        </w:tabs>
        <w:ind w:left="2390" w:hanging="410"/>
      </w:pPr>
      <w:rPr>
        <w:rFonts w:hint="default"/>
      </w:rPr>
    </w:lvl>
    <w:lvl w:ilvl="4" w:tplc="1898CB2C">
      <w:start w:val="1"/>
      <w:numFmt w:val="lowerLetter"/>
      <w:lvlText w:val="%5)"/>
      <w:lvlJc w:val="left"/>
      <w:pPr>
        <w:ind w:left="3060" w:hanging="360"/>
      </w:pPr>
      <w:rPr>
        <w:rFonts w:hint="default"/>
      </w:r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1F2A527B"/>
    <w:multiLevelType w:val="hybridMultilevel"/>
    <w:tmpl w:val="1028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52930"/>
    <w:multiLevelType w:val="hybridMultilevel"/>
    <w:tmpl w:val="6412A6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C6A14"/>
    <w:multiLevelType w:val="hybridMultilevel"/>
    <w:tmpl w:val="96666B54"/>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C42136B"/>
    <w:multiLevelType w:val="hybridMultilevel"/>
    <w:tmpl w:val="9E5239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B44A93"/>
    <w:multiLevelType w:val="hybridMultilevel"/>
    <w:tmpl w:val="4D705A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2B66AC"/>
    <w:multiLevelType w:val="hybridMultilevel"/>
    <w:tmpl w:val="359269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372B0"/>
    <w:multiLevelType w:val="hybridMultilevel"/>
    <w:tmpl w:val="C378596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177C85"/>
    <w:multiLevelType w:val="multilevel"/>
    <w:tmpl w:val="5830B3D4"/>
    <w:lvl w:ilvl="0">
      <w:start w:val="1"/>
      <w:numFmt w:val="decimal"/>
      <w:lvlText w:val="%1"/>
      <w:lvlJc w:val="left"/>
      <w:pPr>
        <w:ind w:left="1530" w:hanging="360"/>
      </w:pPr>
      <w:rPr>
        <w:rFonts w:hint="default"/>
      </w:rPr>
    </w:lvl>
    <w:lvl w:ilvl="1">
      <w:numFmt w:val="decimal"/>
      <w:pStyle w:val="Heading1"/>
      <w:lvlText w:val="%1.%2"/>
      <w:lvlJc w:val="left"/>
      <w:pPr>
        <w:ind w:left="1530" w:hanging="360"/>
      </w:pPr>
      <w:rPr>
        <w:rFonts w:hint="default"/>
      </w:rPr>
    </w:lvl>
    <w:lvl w:ilvl="2">
      <w:start w:val="1"/>
      <w:numFmt w:val="decimal"/>
      <w:pStyle w:val="Heading2"/>
      <w:lvlText w:val="%1.%2.%3"/>
      <w:lvlJc w:val="left"/>
      <w:pPr>
        <w:ind w:left="720" w:hanging="720"/>
      </w:pPr>
      <w:rPr>
        <w:rFonts w:hint="default"/>
        <w:b/>
        <w:i w:val="0"/>
      </w:rPr>
    </w:lvl>
    <w:lvl w:ilvl="3">
      <w:start w:val="1"/>
      <w:numFmt w:val="decimal"/>
      <w:pStyle w:val="Heading3"/>
      <w:lvlText w:val="%1.%2.%3.%4"/>
      <w:lvlJc w:val="left"/>
      <w:pPr>
        <w:ind w:left="29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2E2DD3"/>
    <w:multiLevelType w:val="hybridMultilevel"/>
    <w:tmpl w:val="6AE43F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1"/>
  </w:num>
  <w:num w:numId="5">
    <w:abstractNumId w:val="14"/>
  </w:num>
  <w:num w:numId="6">
    <w:abstractNumId w:val="12"/>
  </w:num>
  <w:num w:numId="7">
    <w:abstractNumId w:val="6"/>
  </w:num>
  <w:num w:numId="8">
    <w:abstractNumId w:val="1"/>
  </w:num>
  <w:num w:numId="9">
    <w:abstractNumId w:val="3"/>
  </w:num>
  <w:num w:numId="10">
    <w:abstractNumId w:val="13"/>
  </w:num>
  <w:num w:numId="11">
    <w:abstractNumId w:val="10"/>
  </w:num>
  <w:num w:numId="12">
    <w:abstractNumId w:val="5"/>
  </w:num>
  <w:num w:numId="13">
    <w:abstractNumId w:val="8"/>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wNjMyMzEyNTKxNDNQ0lEKTi0uzszPAykwNKoFAOuNVnMtAAAA"/>
    <w:docVar w:name="dgnword-docGUID" w:val="{8115DEAF-CF33-4191-9D47-60463B51D95B}"/>
    <w:docVar w:name="dgnword-eventsink" w:val="1751198241648"/>
  </w:docVars>
  <w:rsids>
    <w:rsidRoot w:val="00FD3FEA"/>
    <w:rsid w:val="00015317"/>
    <w:rsid w:val="00025CDF"/>
    <w:rsid w:val="0002700D"/>
    <w:rsid w:val="00031E6F"/>
    <w:rsid w:val="00051B52"/>
    <w:rsid w:val="00072C40"/>
    <w:rsid w:val="00077C1D"/>
    <w:rsid w:val="00083D5C"/>
    <w:rsid w:val="000955B4"/>
    <w:rsid w:val="000C7DED"/>
    <w:rsid w:val="000E3461"/>
    <w:rsid w:val="000E574C"/>
    <w:rsid w:val="000E5830"/>
    <w:rsid w:val="000E75F9"/>
    <w:rsid w:val="00106D31"/>
    <w:rsid w:val="001174CB"/>
    <w:rsid w:val="0012006C"/>
    <w:rsid w:val="001201AE"/>
    <w:rsid w:val="001221A9"/>
    <w:rsid w:val="001222EA"/>
    <w:rsid w:val="00125365"/>
    <w:rsid w:val="0014026D"/>
    <w:rsid w:val="00157642"/>
    <w:rsid w:val="00171AF4"/>
    <w:rsid w:val="00173094"/>
    <w:rsid w:val="001749AE"/>
    <w:rsid w:val="00174C52"/>
    <w:rsid w:val="001930CF"/>
    <w:rsid w:val="00195E4B"/>
    <w:rsid w:val="001A0E68"/>
    <w:rsid w:val="001A18AB"/>
    <w:rsid w:val="001A6EAD"/>
    <w:rsid w:val="001C33B5"/>
    <w:rsid w:val="001C38F3"/>
    <w:rsid w:val="001C3BBC"/>
    <w:rsid w:val="001C5AB1"/>
    <w:rsid w:val="001C7F04"/>
    <w:rsid w:val="001D0A00"/>
    <w:rsid w:val="001D2D17"/>
    <w:rsid w:val="001E6BDE"/>
    <w:rsid w:val="002137D4"/>
    <w:rsid w:val="00217E91"/>
    <w:rsid w:val="00224F7B"/>
    <w:rsid w:val="002370A8"/>
    <w:rsid w:val="002536B5"/>
    <w:rsid w:val="00260745"/>
    <w:rsid w:val="0026671E"/>
    <w:rsid w:val="00277ED2"/>
    <w:rsid w:val="00283728"/>
    <w:rsid w:val="00287BFC"/>
    <w:rsid w:val="00293789"/>
    <w:rsid w:val="002A0E35"/>
    <w:rsid w:val="002A1187"/>
    <w:rsid w:val="002A5E4E"/>
    <w:rsid w:val="002B3644"/>
    <w:rsid w:val="002B7842"/>
    <w:rsid w:val="002C35EE"/>
    <w:rsid w:val="002C5662"/>
    <w:rsid w:val="002D2E06"/>
    <w:rsid w:val="002E5B25"/>
    <w:rsid w:val="002F241F"/>
    <w:rsid w:val="002F3FBA"/>
    <w:rsid w:val="002F552A"/>
    <w:rsid w:val="00304AE8"/>
    <w:rsid w:val="00305074"/>
    <w:rsid w:val="0031192C"/>
    <w:rsid w:val="00317146"/>
    <w:rsid w:val="003231E3"/>
    <w:rsid w:val="00325BDE"/>
    <w:rsid w:val="00330155"/>
    <w:rsid w:val="003326F4"/>
    <w:rsid w:val="00383BE2"/>
    <w:rsid w:val="00391F28"/>
    <w:rsid w:val="00396F0C"/>
    <w:rsid w:val="003A0905"/>
    <w:rsid w:val="003A2E44"/>
    <w:rsid w:val="003A3A1A"/>
    <w:rsid w:val="003A7CAE"/>
    <w:rsid w:val="003B4EEA"/>
    <w:rsid w:val="003B6C8B"/>
    <w:rsid w:val="003E4D21"/>
    <w:rsid w:val="003F0937"/>
    <w:rsid w:val="003F31C7"/>
    <w:rsid w:val="0040125C"/>
    <w:rsid w:val="0040490D"/>
    <w:rsid w:val="004051EE"/>
    <w:rsid w:val="00422E1B"/>
    <w:rsid w:val="00424D6E"/>
    <w:rsid w:val="00465715"/>
    <w:rsid w:val="004676A1"/>
    <w:rsid w:val="00470C6B"/>
    <w:rsid w:val="004716C5"/>
    <w:rsid w:val="00474279"/>
    <w:rsid w:val="004760F9"/>
    <w:rsid w:val="00481ED8"/>
    <w:rsid w:val="00490772"/>
    <w:rsid w:val="00496C1E"/>
    <w:rsid w:val="004A6286"/>
    <w:rsid w:val="004B0FDA"/>
    <w:rsid w:val="004B49E3"/>
    <w:rsid w:val="004B76FF"/>
    <w:rsid w:val="004C5BB2"/>
    <w:rsid w:val="004D6A7A"/>
    <w:rsid w:val="004E4D4D"/>
    <w:rsid w:val="004F0595"/>
    <w:rsid w:val="00503364"/>
    <w:rsid w:val="00503FB8"/>
    <w:rsid w:val="00511DA6"/>
    <w:rsid w:val="0051381F"/>
    <w:rsid w:val="0051730B"/>
    <w:rsid w:val="0052340C"/>
    <w:rsid w:val="00537E87"/>
    <w:rsid w:val="00541D7A"/>
    <w:rsid w:val="005508C3"/>
    <w:rsid w:val="0055318F"/>
    <w:rsid w:val="00554924"/>
    <w:rsid w:val="0055657A"/>
    <w:rsid w:val="00557D14"/>
    <w:rsid w:val="005641B1"/>
    <w:rsid w:val="00564336"/>
    <w:rsid w:val="00577614"/>
    <w:rsid w:val="005839B7"/>
    <w:rsid w:val="00597C46"/>
    <w:rsid w:val="005A0ADD"/>
    <w:rsid w:val="005B1AEE"/>
    <w:rsid w:val="005C307E"/>
    <w:rsid w:val="005E4080"/>
    <w:rsid w:val="005E4143"/>
    <w:rsid w:val="005E4144"/>
    <w:rsid w:val="005E6EB7"/>
    <w:rsid w:val="005E78FE"/>
    <w:rsid w:val="005F308C"/>
    <w:rsid w:val="005F4005"/>
    <w:rsid w:val="00605D40"/>
    <w:rsid w:val="00611B71"/>
    <w:rsid w:val="00614F53"/>
    <w:rsid w:val="006203EE"/>
    <w:rsid w:val="00621F1B"/>
    <w:rsid w:val="0063567A"/>
    <w:rsid w:val="00640DBE"/>
    <w:rsid w:val="00643161"/>
    <w:rsid w:val="00654E85"/>
    <w:rsid w:val="00660307"/>
    <w:rsid w:val="006714FB"/>
    <w:rsid w:val="00671C7E"/>
    <w:rsid w:val="006727D5"/>
    <w:rsid w:val="0068224D"/>
    <w:rsid w:val="00691614"/>
    <w:rsid w:val="006A61A4"/>
    <w:rsid w:val="006B00EC"/>
    <w:rsid w:val="006B70B1"/>
    <w:rsid w:val="006C0622"/>
    <w:rsid w:val="006C07AE"/>
    <w:rsid w:val="006C7B55"/>
    <w:rsid w:val="006D01E6"/>
    <w:rsid w:val="006D2104"/>
    <w:rsid w:val="006E12EA"/>
    <w:rsid w:val="006F1B21"/>
    <w:rsid w:val="006F35B3"/>
    <w:rsid w:val="00714106"/>
    <w:rsid w:val="0071726F"/>
    <w:rsid w:val="007177FA"/>
    <w:rsid w:val="00745C3C"/>
    <w:rsid w:val="00750AD9"/>
    <w:rsid w:val="0077340F"/>
    <w:rsid w:val="0078649D"/>
    <w:rsid w:val="00787EAC"/>
    <w:rsid w:val="00792A59"/>
    <w:rsid w:val="007930CD"/>
    <w:rsid w:val="007A0199"/>
    <w:rsid w:val="007B0A15"/>
    <w:rsid w:val="007B21E2"/>
    <w:rsid w:val="007B22B2"/>
    <w:rsid w:val="007B59B7"/>
    <w:rsid w:val="007C39FF"/>
    <w:rsid w:val="007C3BBA"/>
    <w:rsid w:val="007C7F91"/>
    <w:rsid w:val="007D0F6A"/>
    <w:rsid w:val="00800BD6"/>
    <w:rsid w:val="0082130B"/>
    <w:rsid w:val="00827E2F"/>
    <w:rsid w:val="0083201E"/>
    <w:rsid w:val="008323E8"/>
    <w:rsid w:val="00847F1C"/>
    <w:rsid w:val="00853F0D"/>
    <w:rsid w:val="00856C25"/>
    <w:rsid w:val="00874BA4"/>
    <w:rsid w:val="008770C5"/>
    <w:rsid w:val="008844A0"/>
    <w:rsid w:val="008947C0"/>
    <w:rsid w:val="00894B70"/>
    <w:rsid w:val="008A0B28"/>
    <w:rsid w:val="008A0BF1"/>
    <w:rsid w:val="008A7517"/>
    <w:rsid w:val="008C1AA0"/>
    <w:rsid w:val="008C2A92"/>
    <w:rsid w:val="008C2F71"/>
    <w:rsid w:val="008E38BC"/>
    <w:rsid w:val="008E44B1"/>
    <w:rsid w:val="008F1FFC"/>
    <w:rsid w:val="008F5BE5"/>
    <w:rsid w:val="009137A3"/>
    <w:rsid w:val="0093293B"/>
    <w:rsid w:val="0095217E"/>
    <w:rsid w:val="00956D14"/>
    <w:rsid w:val="009731F8"/>
    <w:rsid w:val="00975894"/>
    <w:rsid w:val="0098044C"/>
    <w:rsid w:val="009841CC"/>
    <w:rsid w:val="009875C8"/>
    <w:rsid w:val="00991164"/>
    <w:rsid w:val="00993C55"/>
    <w:rsid w:val="00993D64"/>
    <w:rsid w:val="0099726F"/>
    <w:rsid w:val="009A66CE"/>
    <w:rsid w:val="009A77EC"/>
    <w:rsid w:val="009C78B1"/>
    <w:rsid w:val="009C7F84"/>
    <w:rsid w:val="009F715F"/>
    <w:rsid w:val="00A276BE"/>
    <w:rsid w:val="00A32121"/>
    <w:rsid w:val="00A437B9"/>
    <w:rsid w:val="00A51038"/>
    <w:rsid w:val="00A71368"/>
    <w:rsid w:val="00A7424F"/>
    <w:rsid w:val="00A748AD"/>
    <w:rsid w:val="00A75259"/>
    <w:rsid w:val="00A80CCF"/>
    <w:rsid w:val="00A83DAA"/>
    <w:rsid w:val="00A97623"/>
    <w:rsid w:val="00AA5211"/>
    <w:rsid w:val="00AB0391"/>
    <w:rsid w:val="00AC114E"/>
    <w:rsid w:val="00AC3EC5"/>
    <w:rsid w:val="00AD7C21"/>
    <w:rsid w:val="00AF0528"/>
    <w:rsid w:val="00AF0BF6"/>
    <w:rsid w:val="00AF0D76"/>
    <w:rsid w:val="00AF4E66"/>
    <w:rsid w:val="00B039B4"/>
    <w:rsid w:val="00B04700"/>
    <w:rsid w:val="00B1019E"/>
    <w:rsid w:val="00B15C95"/>
    <w:rsid w:val="00B15F3C"/>
    <w:rsid w:val="00B23E43"/>
    <w:rsid w:val="00B266AF"/>
    <w:rsid w:val="00B27D7C"/>
    <w:rsid w:val="00B32BA8"/>
    <w:rsid w:val="00B3645B"/>
    <w:rsid w:val="00B36D4D"/>
    <w:rsid w:val="00B40908"/>
    <w:rsid w:val="00B54664"/>
    <w:rsid w:val="00B54D9C"/>
    <w:rsid w:val="00B606C4"/>
    <w:rsid w:val="00B61AB9"/>
    <w:rsid w:val="00B67111"/>
    <w:rsid w:val="00B71850"/>
    <w:rsid w:val="00B718F6"/>
    <w:rsid w:val="00B73924"/>
    <w:rsid w:val="00B832F1"/>
    <w:rsid w:val="00B910C5"/>
    <w:rsid w:val="00B91CF3"/>
    <w:rsid w:val="00B9774D"/>
    <w:rsid w:val="00B9791A"/>
    <w:rsid w:val="00BB2803"/>
    <w:rsid w:val="00BB5186"/>
    <w:rsid w:val="00BC4427"/>
    <w:rsid w:val="00BE6650"/>
    <w:rsid w:val="00BE6B28"/>
    <w:rsid w:val="00BF4258"/>
    <w:rsid w:val="00BF77D4"/>
    <w:rsid w:val="00C11EBD"/>
    <w:rsid w:val="00C12226"/>
    <w:rsid w:val="00C30709"/>
    <w:rsid w:val="00C31776"/>
    <w:rsid w:val="00C31FED"/>
    <w:rsid w:val="00C42DC0"/>
    <w:rsid w:val="00C52E86"/>
    <w:rsid w:val="00C55235"/>
    <w:rsid w:val="00C62A05"/>
    <w:rsid w:val="00C6555C"/>
    <w:rsid w:val="00C83E23"/>
    <w:rsid w:val="00C84F36"/>
    <w:rsid w:val="00C8587A"/>
    <w:rsid w:val="00C85E91"/>
    <w:rsid w:val="00C86343"/>
    <w:rsid w:val="00CA1F26"/>
    <w:rsid w:val="00CA2B9A"/>
    <w:rsid w:val="00CA6323"/>
    <w:rsid w:val="00CA7B90"/>
    <w:rsid w:val="00CB1DB7"/>
    <w:rsid w:val="00CB6EDE"/>
    <w:rsid w:val="00CC551F"/>
    <w:rsid w:val="00CC56E3"/>
    <w:rsid w:val="00CF0681"/>
    <w:rsid w:val="00CF56B8"/>
    <w:rsid w:val="00CF58BF"/>
    <w:rsid w:val="00D05C21"/>
    <w:rsid w:val="00D0659D"/>
    <w:rsid w:val="00D1171D"/>
    <w:rsid w:val="00D12E9B"/>
    <w:rsid w:val="00D13503"/>
    <w:rsid w:val="00D25A6A"/>
    <w:rsid w:val="00D2613B"/>
    <w:rsid w:val="00D273E4"/>
    <w:rsid w:val="00D329CD"/>
    <w:rsid w:val="00D3314B"/>
    <w:rsid w:val="00D46501"/>
    <w:rsid w:val="00D53685"/>
    <w:rsid w:val="00D64708"/>
    <w:rsid w:val="00D800AE"/>
    <w:rsid w:val="00D83B90"/>
    <w:rsid w:val="00D908B5"/>
    <w:rsid w:val="00D947ED"/>
    <w:rsid w:val="00DA3E1F"/>
    <w:rsid w:val="00DA4DBA"/>
    <w:rsid w:val="00DB0F4E"/>
    <w:rsid w:val="00DB283B"/>
    <w:rsid w:val="00DC44A5"/>
    <w:rsid w:val="00DC464A"/>
    <w:rsid w:val="00DD2098"/>
    <w:rsid w:val="00DD7FE6"/>
    <w:rsid w:val="00DE36CE"/>
    <w:rsid w:val="00E03575"/>
    <w:rsid w:val="00E179E3"/>
    <w:rsid w:val="00E20D6A"/>
    <w:rsid w:val="00E21344"/>
    <w:rsid w:val="00E4597F"/>
    <w:rsid w:val="00E52015"/>
    <w:rsid w:val="00E532D5"/>
    <w:rsid w:val="00E53E0B"/>
    <w:rsid w:val="00E636C3"/>
    <w:rsid w:val="00E821D1"/>
    <w:rsid w:val="00EA4A65"/>
    <w:rsid w:val="00EA5729"/>
    <w:rsid w:val="00EA7422"/>
    <w:rsid w:val="00EB3FED"/>
    <w:rsid w:val="00EE1185"/>
    <w:rsid w:val="00EE5229"/>
    <w:rsid w:val="00EF28FC"/>
    <w:rsid w:val="00EF39A8"/>
    <w:rsid w:val="00F026B1"/>
    <w:rsid w:val="00F07B5A"/>
    <w:rsid w:val="00F1083F"/>
    <w:rsid w:val="00F12876"/>
    <w:rsid w:val="00F16035"/>
    <w:rsid w:val="00F24DFD"/>
    <w:rsid w:val="00F4380A"/>
    <w:rsid w:val="00F52E53"/>
    <w:rsid w:val="00F54963"/>
    <w:rsid w:val="00F56C00"/>
    <w:rsid w:val="00F6020B"/>
    <w:rsid w:val="00F60C8A"/>
    <w:rsid w:val="00F75BE3"/>
    <w:rsid w:val="00F75E12"/>
    <w:rsid w:val="00F76737"/>
    <w:rsid w:val="00F90D21"/>
    <w:rsid w:val="00FA3B95"/>
    <w:rsid w:val="00FA556F"/>
    <w:rsid w:val="00FB1B45"/>
    <w:rsid w:val="00FB40F0"/>
    <w:rsid w:val="00FD05B4"/>
    <w:rsid w:val="00FD3FEA"/>
    <w:rsid w:val="00FE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21273A"/>
  <w15:docId w15:val="{62C6A3F5-CCC4-445D-BA9D-34884D24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B1"/>
  </w:style>
  <w:style w:type="paragraph" w:styleId="Heading1">
    <w:name w:val="heading 1"/>
    <w:basedOn w:val="Normal"/>
    <w:next w:val="Normal"/>
    <w:link w:val="Heading1Char"/>
    <w:qFormat/>
    <w:rsid w:val="00317146"/>
    <w:pPr>
      <w:keepNext/>
      <w:keepLines/>
      <w:numPr>
        <w:ilvl w:val="1"/>
        <w:numId w:val="10"/>
      </w:numPr>
      <w:spacing w:after="240"/>
      <w:outlineLvl w:val="0"/>
    </w:pPr>
    <w:rPr>
      <w:rFonts w:ascii="Garamond" w:eastAsia="Times New Roman" w:hAnsi="Garamond" w:cs="Times New Roman"/>
      <w:b/>
      <w:bCs/>
      <w:szCs w:val="28"/>
    </w:rPr>
  </w:style>
  <w:style w:type="paragraph" w:styleId="Heading2">
    <w:name w:val="heading 2"/>
    <w:basedOn w:val="Heading1"/>
    <w:next w:val="Normal"/>
    <w:link w:val="Heading2Char"/>
    <w:qFormat/>
    <w:rsid w:val="00317146"/>
    <w:pPr>
      <w:numPr>
        <w:ilvl w:val="2"/>
      </w:numPr>
      <w:outlineLvl w:val="1"/>
    </w:pPr>
  </w:style>
  <w:style w:type="paragraph" w:styleId="Heading3">
    <w:name w:val="heading 3"/>
    <w:basedOn w:val="Heading2"/>
    <w:next w:val="Normal"/>
    <w:link w:val="Heading3Char"/>
    <w:unhideWhenUsed/>
    <w:qFormat/>
    <w:rsid w:val="00317146"/>
    <w:pPr>
      <w:numPr>
        <w:ilvl w:val="3"/>
      </w:numPr>
      <w:ind w:left="3330"/>
      <w:outlineLvl w:val="2"/>
    </w:pPr>
    <w:rPr>
      <w:rFonts w:cs="Arial"/>
    </w:rPr>
  </w:style>
  <w:style w:type="paragraph" w:styleId="Heading4">
    <w:name w:val="heading 4"/>
    <w:basedOn w:val="Normal"/>
    <w:next w:val="Normal"/>
    <w:link w:val="Heading4Char"/>
    <w:uiPriority w:val="9"/>
    <w:unhideWhenUsed/>
    <w:qFormat/>
    <w:rsid w:val="0057761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FEA"/>
  </w:style>
  <w:style w:type="paragraph" w:styleId="Footer">
    <w:name w:val="footer"/>
    <w:basedOn w:val="Normal"/>
    <w:link w:val="FooterChar"/>
    <w:uiPriority w:val="99"/>
    <w:unhideWhenUsed/>
    <w:rsid w:val="00FD3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FEA"/>
  </w:style>
  <w:style w:type="paragraph" w:styleId="BalloonText">
    <w:name w:val="Balloon Text"/>
    <w:basedOn w:val="Normal"/>
    <w:link w:val="BalloonTextChar"/>
    <w:uiPriority w:val="99"/>
    <w:semiHidden/>
    <w:unhideWhenUsed/>
    <w:rsid w:val="00FD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FEA"/>
    <w:rPr>
      <w:rFonts w:ascii="Tahoma" w:hAnsi="Tahoma" w:cs="Tahoma"/>
      <w:sz w:val="16"/>
      <w:szCs w:val="16"/>
    </w:rPr>
  </w:style>
  <w:style w:type="paragraph" w:styleId="ListParagraph">
    <w:name w:val="List Paragraph"/>
    <w:basedOn w:val="Normal"/>
    <w:uiPriority w:val="34"/>
    <w:qFormat/>
    <w:rsid w:val="00FD3FEA"/>
    <w:pPr>
      <w:ind w:left="720"/>
      <w:contextualSpacing/>
    </w:pPr>
  </w:style>
  <w:style w:type="table" w:styleId="TableGrid">
    <w:name w:val="Table Grid"/>
    <w:basedOn w:val="TableNormal"/>
    <w:uiPriority w:val="59"/>
    <w:rsid w:val="008E4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21A9"/>
    <w:rPr>
      <w:color w:val="0000FF" w:themeColor="hyperlink"/>
      <w:u w:val="single"/>
    </w:rPr>
  </w:style>
  <w:style w:type="character" w:customStyle="1" w:styleId="Heading1Char">
    <w:name w:val="Heading 1 Char"/>
    <w:basedOn w:val="DefaultParagraphFont"/>
    <w:link w:val="Heading1"/>
    <w:rsid w:val="00317146"/>
    <w:rPr>
      <w:rFonts w:ascii="Garamond" w:eastAsia="Times New Roman" w:hAnsi="Garamond" w:cs="Times New Roman"/>
      <w:b/>
      <w:bCs/>
      <w:szCs w:val="28"/>
    </w:rPr>
  </w:style>
  <w:style w:type="character" w:customStyle="1" w:styleId="Heading2Char">
    <w:name w:val="Heading 2 Char"/>
    <w:basedOn w:val="DefaultParagraphFont"/>
    <w:link w:val="Heading2"/>
    <w:rsid w:val="00317146"/>
    <w:rPr>
      <w:rFonts w:ascii="Garamond" w:eastAsia="Times New Roman" w:hAnsi="Garamond" w:cs="Times New Roman"/>
      <w:b/>
      <w:bCs/>
      <w:szCs w:val="28"/>
    </w:rPr>
  </w:style>
  <w:style w:type="character" w:customStyle="1" w:styleId="Heading3Char">
    <w:name w:val="Heading 3 Char"/>
    <w:basedOn w:val="DefaultParagraphFont"/>
    <w:link w:val="Heading3"/>
    <w:rsid w:val="00317146"/>
    <w:rPr>
      <w:rFonts w:ascii="Garamond" w:eastAsia="Times New Roman" w:hAnsi="Garamond" w:cs="Arial"/>
      <w:b/>
      <w:bCs/>
      <w:szCs w:val="28"/>
    </w:rPr>
  </w:style>
  <w:style w:type="character" w:customStyle="1" w:styleId="Heading4Char">
    <w:name w:val="Heading 4 Char"/>
    <w:basedOn w:val="DefaultParagraphFont"/>
    <w:link w:val="Heading4"/>
    <w:uiPriority w:val="9"/>
    <w:rsid w:val="00577614"/>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A74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8848">
      <w:bodyDiv w:val="1"/>
      <w:marLeft w:val="0"/>
      <w:marRight w:val="0"/>
      <w:marTop w:val="0"/>
      <w:marBottom w:val="0"/>
      <w:divBdr>
        <w:top w:val="none" w:sz="0" w:space="0" w:color="auto"/>
        <w:left w:val="none" w:sz="0" w:space="0" w:color="auto"/>
        <w:bottom w:val="none" w:sz="0" w:space="0" w:color="auto"/>
        <w:right w:val="none" w:sz="0" w:space="0" w:color="auto"/>
      </w:divBdr>
    </w:div>
    <w:div w:id="850216498">
      <w:bodyDiv w:val="1"/>
      <w:marLeft w:val="0"/>
      <w:marRight w:val="0"/>
      <w:marTop w:val="0"/>
      <w:marBottom w:val="0"/>
      <w:divBdr>
        <w:top w:val="none" w:sz="0" w:space="0" w:color="auto"/>
        <w:left w:val="none" w:sz="0" w:space="0" w:color="auto"/>
        <w:bottom w:val="none" w:sz="0" w:space="0" w:color="auto"/>
        <w:right w:val="none" w:sz="0" w:space="0" w:color="auto"/>
      </w:divBdr>
      <w:divsChild>
        <w:div w:id="1173108927">
          <w:marLeft w:val="547"/>
          <w:marRight w:val="0"/>
          <w:marTop w:val="86"/>
          <w:marBottom w:val="0"/>
          <w:divBdr>
            <w:top w:val="none" w:sz="0" w:space="0" w:color="auto"/>
            <w:left w:val="none" w:sz="0" w:space="0" w:color="auto"/>
            <w:bottom w:val="none" w:sz="0" w:space="0" w:color="auto"/>
            <w:right w:val="none" w:sz="0" w:space="0" w:color="auto"/>
          </w:divBdr>
        </w:div>
        <w:div w:id="1970740880">
          <w:marLeft w:val="1166"/>
          <w:marRight w:val="0"/>
          <w:marTop w:val="62"/>
          <w:marBottom w:val="0"/>
          <w:divBdr>
            <w:top w:val="none" w:sz="0" w:space="0" w:color="auto"/>
            <w:left w:val="none" w:sz="0" w:space="0" w:color="auto"/>
            <w:bottom w:val="none" w:sz="0" w:space="0" w:color="auto"/>
            <w:right w:val="none" w:sz="0" w:space="0" w:color="auto"/>
          </w:divBdr>
        </w:div>
        <w:div w:id="635186411">
          <w:marLeft w:val="1166"/>
          <w:marRight w:val="0"/>
          <w:marTop w:val="62"/>
          <w:marBottom w:val="0"/>
          <w:divBdr>
            <w:top w:val="none" w:sz="0" w:space="0" w:color="auto"/>
            <w:left w:val="none" w:sz="0" w:space="0" w:color="auto"/>
            <w:bottom w:val="none" w:sz="0" w:space="0" w:color="auto"/>
            <w:right w:val="none" w:sz="0" w:space="0" w:color="auto"/>
          </w:divBdr>
        </w:div>
        <w:div w:id="414673248">
          <w:marLeft w:val="1166"/>
          <w:marRight w:val="0"/>
          <w:marTop w:val="62"/>
          <w:marBottom w:val="0"/>
          <w:divBdr>
            <w:top w:val="none" w:sz="0" w:space="0" w:color="auto"/>
            <w:left w:val="none" w:sz="0" w:space="0" w:color="auto"/>
            <w:bottom w:val="none" w:sz="0" w:space="0" w:color="auto"/>
            <w:right w:val="none" w:sz="0" w:space="0" w:color="auto"/>
          </w:divBdr>
        </w:div>
        <w:div w:id="620190243">
          <w:marLeft w:val="1166"/>
          <w:marRight w:val="0"/>
          <w:marTop w:val="62"/>
          <w:marBottom w:val="0"/>
          <w:divBdr>
            <w:top w:val="none" w:sz="0" w:space="0" w:color="auto"/>
            <w:left w:val="none" w:sz="0" w:space="0" w:color="auto"/>
            <w:bottom w:val="none" w:sz="0" w:space="0" w:color="auto"/>
            <w:right w:val="none" w:sz="0" w:space="0" w:color="auto"/>
          </w:divBdr>
        </w:div>
        <w:div w:id="1395157718">
          <w:marLeft w:val="547"/>
          <w:marRight w:val="0"/>
          <w:marTop w:val="86"/>
          <w:marBottom w:val="0"/>
          <w:divBdr>
            <w:top w:val="none" w:sz="0" w:space="0" w:color="auto"/>
            <w:left w:val="none" w:sz="0" w:space="0" w:color="auto"/>
            <w:bottom w:val="none" w:sz="0" w:space="0" w:color="auto"/>
            <w:right w:val="none" w:sz="0" w:space="0" w:color="auto"/>
          </w:divBdr>
        </w:div>
        <w:div w:id="1483813472">
          <w:marLeft w:val="547"/>
          <w:marRight w:val="0"/>
          <w:marTop w:val="86"/>
          <w:marBottom w:val="0"/>
          <w:divBdr>
            <w:top w:val="none" w:sz="0" w:space="0" w:color="auto"/>
            <w:left w:val="none" w:sz="0" w:space="0" w:color="auto"/>
            <w:bottom w:val="none" w:sz="0" w:space="0" w:color="auto"/>
            <w:right w:val="none" w:sz="0" w:space="0" w:color="auto"/>
          </w:divBdr>
        </w:div>
      </w:divsChild>
    </w:div>
    <w:div w:id="909849322">
      <w:bodyDiv w:val="1"/>
      <w:marLeft w:val="0"/>
      <w:marRight w:val="0"/>
      <w:marTop w:val="0"/>
      <w:marBottom w:val="0"/>
      <w:divBdr>
        <w:top w:val="none" w:sz="0" w:space="0" w:color="auto"/>
        <w:left w:val="none" w:sz="0" w:space="0" w:color="auto"/>
        <w:bottom w:val="none" w:sz="0" w:space="0" w:color="auto"/>
        <w:right w:val="none" w:sz="0" w:space="0" w:color="auto"/>
      </w:divBdr>
    </w:div>
    <w:div w:id="10174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msbdc.ecenterdirec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 Team</dc:creator>
  <cp:lastModifiedBy>Glenn Walters</cp:lastModifiedBy>
  <cp:revision>5</cp:revision>
  <cp:lastPrinted>2021-10-22T02:27:00Z</cp:lastPrinted>
  <dcterms:created xsi:type="dcterms:W3CDTF">2022-03-27T02:04:00Z</dcterms:created>
  <dcterms:modified xsi:type="dcterms:W3CDTF">2022-03-27T02:06:00Z</dcterms:modified>
</cp:coreProperties>
</file>